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IC-Medium" w:eastAsia="VIC-Medium" w:hAnsi="VIC-Medium" w:cs="VIC-Medium"/>
          <w:color w:val="0A3C73"/>
          <w:szCs w:val="24"/>
          <w:lang w:val="en-US" w:eastAsia="en-US"/>
        </w:rPr>
        <w:id w:val="-97486291"/>
        <w:docPartObj>
          <w:docPartGallery w:val="Cover Pages"/>
          <w:docPartUnique/>
        </w:docPartObj>
      </w:sdtPr>
      <w:sdtEndPr/>
      <w:sdtContent>
        <w:p w14:paraId="3C247E7E" w14:textId="180FA5E3" w:rsidR="00284CBB" w:rsidRDefault="00BE2D3E" w:rsidP="001200DE">
          <w:r>
            <w:rPr>
              <w:noProof/>
            </w:rPr>
            <w:drawing>
              <wp:anchor distT="0" distB="0" distL="114300" distR="114300" simplePos="0" relativeHeight="251658242" behindDoc="0" locked="0" layoutInCell="1" allowOverlap="1" wp14:anchorId="26BEA38E" wp14:editId="5B87A48A">
                <wp:simplePos x="0" y="0"/>
                <wp:positionH relativeFrom="column">
                  <wp:posOffset>4713605</wp:posOffset>
                </wp:positionH>
                <wp:positionV relativeFrom="paragraph">
                  <wp:posOffset>-314325</wp:posOffset>
                </wp:positionV>
                <wp:extent cx="1770842" cy="964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r="3704"/>
                        <a:stretch/>
                      </pic:blipFill>
                      <pic:spPr bwMode="auto">
                        <a:xfrm>
                          <a:off x="0" y="0"/>
                          <a:ext cx="1770842"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E85">
            <w:rPr>
              <w:noProof/>
            </w:rPr>
            <w:drawing>
              <wp:anchor distT="0" distB="0" distL="114300" distR="114300" simplePos="0" relativeHeight="251658241" behindDoc="1" locked="0" layoutInCell="1" allowOverlap="1" wp14:anchorId="6888B046" wp14:editId="0BE73334">
                <wp:simplePos x="0" y="0"/>
                <wp:positionH relativeFrom="column">
                  <wp:posOffset>-672935</wp:posOffset>
                </wp:positionH>
                <wp:positionV relativeFrom="paragraph">
                  <wp:posOffset>-699135</wp:posOffset>
                </wp:positionV>
                <wp:extent cx="7620000" cy="10770468"/>
                <wp:effectExtent l="0" t="0" r="0" b="0"/>
                <wp:wrapNone/>
                <wp:docPr id="19" name="Picture 19"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ctang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0" cy="10770468"/>
                        </a:xfrm>
                        <a:prstGeom prst="rect">
                          <a:avLst/>
                        </a:prstGeom>
                      </pic:spPr>
                    </pic:pic>
                  </a:graphicData>
                </a:graphic>
                <wp14:sizeRelH relativeFrom="page">
                  <wp14:pctWidth>0</wp14:pctWidth>
                </wp14:sizeRelH>
                <wp14:sizeRelV relativeFrom="page">
                  <wp14:pctHeight>0</wp14:pctHeight>
                </wp14:sizeRelV>
              </wp:anchor>
            </w:drawing>
          </w:r>
        </w:p>
        <w:p w14:paraId="7308827E" w14:textId="0BBC5C3D" w:rsidR="004751A4" w:rsidRDefault="004751A4" w:rsidP="004751A4">
          <w:pPr>
            <w:spacing w:after="283" w:line="180" w:lineRule="auto"/>
            <w:jc w:val="right"/>
          </w:pPr>
        </w:p>
        <w:p w14:paraId="288303B3" w14:textId="40CDD4FC" w:rsidR="004751A4" w:rsidRDefault="004751A4" w:rsidP="004751A4">
          <w:pPr>
            <w:spacing w:after="283" w:line="180" w:lineRule="auto"/>
            <w:jc w:val="right"/>
          </w:pPr>
        </w:p>
        <w:p w14:paraId="4531C178" w14:textId="640684A8" w:rsidR="004751A4" w:rsidRDefault="004751A4" w:rsidP="004751A4">
          <w:pPr>
            <w:spacing w:after="283" w:line="180" w:lineRule="auto"/>
            <w:jc w:val="right"/>
          </w:pPr>
        </w:p>
        <w:p w14:paraId="20D7F176" w14:textId="6E7ACE69" w:rsidR="004751A4" w:rsidRDefault="00B72D75" w:rsidP="004751A4">
          <w:pPr>
            <w:spacing w:after="283" w:line="180" w:lineRule="auto"/>
            <w:jc w:val="right"/>
          </w:pPr>
          <w:r>
            <w:br/>
          </w:r>
          <w:r>
            <w:br/>
          </w:r>
          <w:r>
            <w:br/>
          </w:r>
          <w:r>
            <w:br/>
          </w:r>
          <w:r>
            <w:br/>
          </w:r>
          <w:r>
            <w:br/>
          </w:r>
          <w:r>
            <w:br/>
          </w:r>
          <w:r>
            <w:br/>
          </w:r>
        </w:p>
        <w:p w14:paraId="1756FFAE" w14:textId="1FCF85FE" w:rsidR="004751A4" w:rsidRDefault="004751A4" w:rsidP="004751A4">
          <w:pPr>
            <w:spacing w:after="283" w:line="180" w:lineRule="auto"/>
            <w:jc w:val="right"/>
          </w:pPr>
        </w:p>
        <w:p w14:paraId="7F9B7872" w14:textId="1C6673E2" w:rsidR="004751A4" w:rsidRDefault="004751A4" w:rsidP="004751A4">
          <w:pPr>
            <w:spacing w:after="283" w:line="180" w:lineRule="auto"/>
            <w:jc w:val="right"/>
          </w:pPr>
        </w:p>
        <w:p w14:paraId="0A689D23" w14:textId="7C28A5EE" w:rsidR="004751A4" w:rsidRPr="004E3480" w:rsidRDefault="00325A2A" w:rsidP="004E3480">
          <w:pPr>
            <w:pStyle w:val="Title"/>
          </w:pPr>
          <w:r>
            <w:t>Trace Elements in Wild Water</w:t>
          </w:r>
          <w:r w:rsidR="00C42B88">
            <w:t>f</w:t>
          </w:r>
          <w:r>
            <w:t>owl &amp; Human Health Risk</w:t>
          </w:r>
          <w:r w:rsidR="00507E3B">
            <w:t xml:space="preserve"> Assessment</w:t>
          </w:r>
          <w:r w:rsidR="004E3480">
            <w:br/>
          </w:r>
        </w:p>
        <w:p w14:paraId="6A60F498" w14:textId="66B5793D" w:rsidR="004751A4" w:rsidRPr="00AF2DCE" w:rsidRDefault="004E3480" w:rsidP="004E3480">
          <w:pPr>
            <w:pStyle w:val="Subtitle"/>
          </w:pPr>
          <w:r>
            <w:br/>
          </w:r>
        </w:p>
        <w:p w14:paraId="249463DB" w14:textId="18ADDBD1" w:rsidR="004751A4" w:rsidRDefault="004751A4" w:rsidP="004751A4">
          <w:pPr>
            <w:jc w:val="right"/>
            <w:rPr>
              <w:color w:val="FFFFFF" w:themeColor="background1"/>
            </w:rPr>
          </w:pPr>
        </w:p>
        <w:p w14:paraId="67DB46BA" w14:textId="576DFC80" w:rsidR="00B72D75" w:rsidRPr="007B3A31" w:rsidRDefault="004E3480" w:rsidP="00B72D75">
          <w:pPr>
            <w:jc w:val="right"/>
            <w:rPr>
              <w:color w:val="FFFFFF" w:themeColor="background1"/>
            </w:rPr>
          </w:pPr>
          <w:r>
            <w:rPr>
              <w:color w:val="FFFFFF" w:themeColor="background1"/>
            </w:rPr>
            <w:br/>
          </w:r>
          <w:r w:rsidR="004751A4" w:rsidRPr="007B3A31">
            <w:rPr>
              <w:color w:val="FFFFFF" w:themeColor="background1"/>
            </w:rPr>
            <w:t xml:space="preserve">Publication </w:t>
          </w:r>
          <w:r w:rsidR="007B3A31" w:rsidRPr="007B3A31">
            <w:rPr>
              <w:color w:val="FFFFFF" w:themeColor="background1"/>
            </w:rPr>
            <w:t>2057</w:t>
          </w:r>
          <w:r w:rsidR="004751A4" w:rsidRPr="007B3A31">
            <w:rPr>
              <w:color w:val="FFFFFF" w:themeColor="background1"/>
            </w:rPr>
            <w:t xml:space="preserve">   |   </w:t>
          </w:r>
          <w:r w:rsidR="00325A2A" w:rsidRPr="007B3A31">
            <w:rPr>
              <w:color w:val="FFFFFF" w:themeColor="background1"/>
            </w:rPr>
            <w:t>April</w:t>
          </w:r>
          <w:r w:rsidR="004751A4" w:rsidRPr="007B3A31">
            <w:rPr>
              <w:color w:val="FFFFFF" w:themeColor="background1"/>
            </w:rPr>
            <w:t xml:space="preserve"> 202</w:t>
          </w:r>
          <w:r w:rsidR="00325A2A" w:rsidRPr="007B3A31">
            <w:rPr>
              <w:color w:val="FFFFFF" w:themeColor="background1"/>
            </w:rPr>
            <w:t>3</w:t>
          </w:r>
          <w:r w:rsidR="004751A4" w:rsidRPr="007B3A31">
            <w:rPr>
              <w:color w:val="FFFFFF" w:themeColor="background1"/>
            </w:rPr>
            <w:t xml:space="preserve"> </w:t>
          </w:r>
        </w:p>
        <w:p w14:paraId="224E1992" w14:textId="0C0FFB24" w:rsidR="009F47DD" w:rsidRPr="007B3A31" w:rsidRDefault="000A0B23" w:rsidP="00B72D75">
          <w:pPr>
            <w:jc w:val="right"/>
            <w:rPr>
              <w:color w:val="FFFFFF" w:themeColor="background1"/>
            </w:rPr>
          </w:pPr>
          <w:r w:rsidRPr="007B3A31">
            <w:rPr>
              <w:color w:val="FFFFFF" w:themeColor="background1"/>
            </w:rPr>
            <w:t>Minna Saaristo, Land and Waste Sciences</w:t>
          </w:r>
        </w:p>
        <w:p w14:paraId="608089A4" w14:textId="63964CDD" w:rsidR="00C514F7" w:rsidRDefault="00C514F7">
          <w:pPr>
            <w:spacing w:after="0"/>
            <w:rPr>
              <w:rStyle w:val="Hyperlink"/>
              <w:rFonts w:eastAsia="VIC" w:cs="VIC"/>
              <w:szCs w:val="22"/>
              <w:lang w:val="en-US" w:eastAsia="en-US"/>
            </w:rPr>
          </w:pPr>
          <w:r>
            <w:rPr>
              <w:rStyle w:val="Hyperlink"/>
            </w:rPr>
            <w:br w:type="page"/>
          </w:r>
        </w:p>
        <w:p w14:paraId="60C3CE20" w14:textId="506B7670" w:rsidR="009F47DD" w:rsidRPr="00F73919" w:rsidRDefault="004446A8" w:rsidP="001200DE">
          <w:pPr>
            <w:pStyle w:val="BodyText"/>
            <w:spacing w:after="120"/>
            <w:rPr>
              <w:rStyle w:val="Hyperlink"/>
            </w:rPr>
          </w:pPr>
          <w:hyperlink r:id="rId13" w:history="1">
            <w:r w:rsidR="009F47DD" w:rsidRPr="001B1BD1">
              <w:rPr>
                <w:rStyle w:val="Hyperlink"/>
              </w:rPr>
              <w:t>epa.vic.gov.au</w:t>
            </w:r>
          </w:hyperlink>
          <w:r w:rsidR="009F47DD" w:rsidRPr="00F73919">
            <w:rPr>
              <w:rStyle w:val="Hyperlink"/>
            </w:rPr>
            <w:t xml:space="preserve"> </w:t>
          </w:r>
        </w:p>
        <w:p w14:paraId="52C77F96" w14:textId="77777777" w:rsidR="009F47DD" w:rsidRPr="0079361E" w:rsidRDefault="009F47DD" w:rsidP="001200DE">
          <w:pPr>
            <w:pStyle w:val="BodyText"/>
            <w:rPr>
              <w:color w:val="0A3C73"/>
            </w:rPr>
          </w:pPr>
          <w:r w:rsidRPr="0079361E">
            <w:rPr>
              <w:color w:val="0A3C73"/>
            </w:rPr>
            <w:t>Environment Protection Authority Victoria</w:t>
          </w:r>
        </w:p>
        <w:p w14:paraId="4A766ECA" w14:textId="77777777" w:rsidR="009F47DD" w:rsidRPr="0079361E" w:rsidRDefault="009F47DD" w:rsidP="001200DE">
          <w:pPr>
            <w:pStyle w:val="BodyText"/>
            <w:rPr>
              <w:color w:val="0A3C73"/>
            </w:rPr>
          </w:pPr>
          <w:r w:rsidRPr="0079361E">
            <w:rPr>
              <w:color w:val="0A3C73"/>
            </w:rPr>
            <w:t>GPO BOX 4395 Melbourne VIC 3001</w:t>
          </w:r>
        </w:p>
        <w:p w14:paraId="3C85184B" w14:textId="77777777" w:rsidR="009F47DD" w:rsidRPr="0079361E" w:rsidRDefault="009F47DD" w:rsidP="001200DE">
          <w:pPr>
            <w:pStyle w:val="BodyText"/>
            <w:rPr>
              <w:color w:val="0A3C73"/>
            </w:rPr>
          </w:pPr>
          <w:r w:rsidRPr="0079361E">
            <w:rPr>
              <w:color w:val="0A3C73"/>
            </w:rPr>
            <w:t>1300 372 842</w:t>
          </w:r>
        </w:p>
        <w:p w14:paraId="7A3CF14E" w14:textId="59D31692" w:rsidR="009F47DD" w:rsidRDefault="009F47DD" w:rsidP="001200DE">
          <w:pPr>
            <w:pStyle w:val="Footertext"/>
            <w:tabs>
              <w:tab w:val="clear" w:pos="4680"/>
              <w:tab w:val="clear" w:pos="9360"/>
              <w:tab w:val="left" w:pos="1165"/>
            </w:tabs>
            <w:spacing w:after="80"/>
          </w:pPr>
        </w:p>
        <w:p w14:paraId="54A8676F" w14:textId="1215D0DC" w:rsidR="00525522" w:rsidRDefault="00525522" w:rsidP="001200DE">
          <w:pPr>
            <w:pStyle w:val="BodyText"/>
          </w:pPr>
          <w:r>
            <w:rPr>
              <w:noProof/>
              <w:sz w:val="16"/>
              <w:szCs w:val="16"/>
            </w:rPr>
            <mc:AlternateContent>
              <mc:Choice Requires="wps">
                <w:drawing>
                  <wp:anchor distT="0" distB="0" distL="114300" distR="114300" simplePos="0" relativeHeight="251658240" behindDoc="0" locked="0" layoutInCell="1" allowOverlap="1" wp14:anchorId="258BB498" wp14:editId="20C7C496">
                    <wp:simplePos x="0" y="0"/>
                    <wp:positionH relativeFrom="column">
                      <wp:posOffset>0</wp:posOffset>
                    </wp:positionH>
                    <wp:positionV relativeFrom="paragraph">
                      <wp:posOffset>58943</wp:posOffset>
                    </wp:positionV>
                    <wp:extent cx="6492875"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93626" id="Straight Connector 2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4.65pt" to="511.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" strokecolor="#00b4e1" strokeweight="1pt">
                    <v:stroke joinstyle="miter"/>
                  </v:line>
                </w:pict>
              </mc:Fallback>
            </mc:AlternateContent>
          </w:r>
        </w:p>
        <w:p w14:paraId="781F1996" w14:textId="77777777" w:rsidR="00525522" w:rsidRDefault="00525522" w:rsidP="001200DE">
          <w:pPr>
            <w:pStyle w:val="BodyText"/>
          </w:pPr>
        </w:p>
        <w:p w14:paraId="27263B80" w14:textId="77777777" w:rsidR="00525522" w:rsidRDefault="00525522" w:rsidP="001200DE">
          <w:pPr>
            <w:pStyle w:val="BodyText"/>
          </w:pPr>
        </w:p>
        <w:p w14:paraId="031A4901" w14:textId="25AB82DD" w:rsidR="009F47DD" w:rsidRDefault="009F47DD" w:rsidP="001200DE">
          <w:pPr>
            <w:pStyle w:val="BodyText"/>
          </w:pPr>
          <w:r>
            <w:t>This</w:t>
          </w:r>
          <w:r>
            <w:rPr>
              <w:spacing w:val="-2"/>
            </w:rPr>
            <w:t xml:space="preserve"> </w:t>
          </w:r>
          <w:r>
            <w:t>publication</w:t>
          </w:r>
          <w:r>
            <w:rPr>
              <w:spacing w:val="-3"/>
            </w:rPr>
            <w:t xml:space="preserve"> </w:t>
          </w:r>
          <w:r>
            <w:t>is</w:t>
          </w:r>
          <w:r>
            <w:rPr>
              <w:spacing w:val="-3"/>
            </w:rPr>
            <w:t xml:space="preserve"> </w:t>
          </w:r>
          <w:r>
            <w:t>for</w:t>
          </w:r>
          <w:r>
            <w:rPr>
              <w:spacing w:val="-1"/>
            </w:rPr>
            <w:t xml:space="preserve"> </w:t>
          </w:r>
          <w:r>
            <w:t>general</w:t>
          </w:r>
          <w:r>
            <w:rPr>
              <w:spacing w:val="-3"/>
            </w:rPr>
            <w:t xml:space="preserve"> </w:t>
          </w:r>
          <w:r>
            <w:t>guidance</w:t>
          </w:r>
          <w:r>
            <w:rPr>
              <w:spacing w:val="-4"/>
            </w:rPr>
            <w:t xml:space="preserve"> </w:t>
          </w:r>
          <w:r>
            <w:t>only.</w:t>
          </w:r>
          <w:r>
            <w:rPr>
              <w:spacing w:val="-7"/>
            </w:rPr>
            <w:t xml:space="preserve"> </w:t>
          </w:r>
          <w:r>
            <w:t>You should obtain</w:t>
          </w:r>
          <w:r>
            <w:rPr>
              <w:spacing w:val="-4"/>
            </w:rPr>
            <w:t xml:space="preserve"> </w:t>
          </w:r>
          <w:r>
            <w:t>professional</w:t>
          </w:r>
          <w:r>
            <w:rPr>
              <w:spacing w:val="-2"/>
            </w:rPr>
            <w:t xml:space="preserve"> </w:t>
          </w:r>
          <w:r>
            <w:t>advice if</w:t>
          </w:r>
          <w:r>
            <w:rPr>
              <w:spacing w:val="-3"/>
            </w:rPr>
            <w:t xml:space="preserve"> </w:t>
          </w:r>
          <w:r>
            <w:t>you</w:t>
          </w:r>
          <w:r>
            <w:rPr>
              <w:spacing w:val="-5"/>
            </w:rPr>
            <w:t xml:space="preserve"> </w:t>
          </w:r>
          <w:r w:rsidR="00A176AD">
            <w:rPr>
              <w:spacing w:val="-5"/>
            </w:rPr>
            <w:br/>
          </w:r>
          <w:r>
            <w:t>have any</w:t>
          </w:r>
          <w:r>
            <w:rPr>
              <w:spacing w:val="-3"/>
            </w:rPr>
            <w:t xml:space="preserve"> </w:t>
          </w:r>
          <w:r>
            <w:t>specific concern. EPA Victoria has</w:t>
          </w:r>
          <w:r>
            <w:rPr>
              <w:spacing w:val="-5"/>
            </w:rPr>
            <w:t xml:space="preserve"> </w:t>
          </w:r>
          <w:r>
            <w:t>made</w:t>
          </w:r>
          <w:r>
            <w:rPr>
              <w:spacing w:val="-2"/>
            </w:rPr>
            <w:t xml:space="preserve"> </w:t>
          </w:r>
          <w:r>
            <w:t>every</w:t>
          </w:r>
          <w:r>
            <w:rPr>
              <w:spacing w:val="-3"/>
            </w:rPr>
            <w:t xml:space="preserve"> </w:t>
          </w:r>
          <w:r>
            <w:t>reasonable effort to</w:t>
          </w:r>
          <w:r>
            <w:rPr>
              <w:spacing w:val="-4"/>
            </w:rPr>
            <w:t xml:space="preserve"> </w:t>
          </w:r>
          <w:r>
            <w:t>ensure</w:t>
          </w:r>
          <w:r>
            <w:rPr>
              <w:spacing w:val="-2"/>
            </w:rPr>
            <w:t xml:space="preserve"> </w:t>
          </w:r>
          <w:r>
            <w:t>accuracy</w:t>
          </w:r>
          <w:r>
            <w:rPr>
              <w:spacing w:val="-2"/>
            </w:rPr>
            <w:t xml:space="preserve"> </w:t>
          </w:r>
          <w:r w:rsidR="00A176AD">
            <w:rPr>
              <w:spacing w:val="-2"/>
            </w:rPr>
            <w:br/>
          </w:r>
          <w:r w:rsidRPr="0079361E">
            <w:t>at the time of publication.</w:t>
          </w:r>
          <w:r w:rsidR="00525522" w:rsidRPr="00525522">
            <w:rPr>
              <w:noProof/>
              <w:sz w:val="16"/>
              <w:szCs w:val="16"/>
            </w:rPr>
            <w:t xml:space="preserve"> </w:t>
          </w:r>
        </w:p>
        <w:p w14:paraId="0BE1C6DF" w14:textId="77777777" w:rsidR="00F73919" w:rsidRDefault="00F73919" w:rsidP="001200DE">
          <w:pPr>
            <w:pStyle w:val="BodyText"/>
          </w:pPr>
        </w:p>
        <w:p w14:paraId="13FA13E1" w14:textId="2643A370" w:rsidR="00F73919" w:rsidRPr="00F73919" w:rsidRDefault="00F73919" w:rsidP="001200DE">
          <w:pPr>
            <w:pStyle w:val="BodyText"/>
            <w:rPr>
              <w:rFonts w:ascii="VIC-Medium"/>
            </w:rPr>
          </w:pPr>
          <w:r>
            <w:t>Give</w:t>
          </w:r>
          <w:r>
            <w:rPr>
              <w:spacing w:val="-12"/>
            </w:rPr>
            <w:t xml:space="preserve"> </w:t>
          </w:r>
          <w:r>
            <w:t>feedback</w:t>
          </w:r>
          <w:r>
            <w:rPr>
              <w:spacing w:val="-9"/>
            </w:rPr>
            <w:t xml:space="preserve"> </w:t>
          </w:r>
          <w:r>
            <w:t>about</w:t>
          </w:r>
          <w:r>
            <w:rPr>
              <w:spacing w:val="-6"/>
            </w:rPr>
            <w:t xml:space="preserve"> </w:t>
          </w:r>
          <w:r>
            <w:t>this</w:t>
          </w:r>
          <w:r>
            <w:rPr>
              <w:spacing w:val="-7"/>
            </w:rPr>
            <w:t xml:space="preserve"> </w:t>
          </w:r>
          <w:r>
            <w:t>publication</w:t>
          </w:r>
          <w:r>
            <w:rPr>
              <w:spacing w:val="-8"/>
            </w:rPr>
            <w:t xml:space="preserve"> </w:t>
          </w:r>
          <w:r>
            <w:t>online:</w:t>
          </w:r>
          <w:r>
            <w:rPr>
              <w:spacing w:val="-6"/>
            </w:rPr>
            <w:t xml:space="preserve"> </w:t>
          </w:r>
          <w:hyperlink r:id="rId14">
            <w:r w:rsidRPr="00F73919">
              <w:rPr>
                <w:rStyle w:val="Hyperlink"/>
              </w:rPr>
              <w:t>epa.vic.gov.au/publication-feedback</w:t>
            </w:r>
          </w:hyperlink>
        </w:p>
        <w:p w14:paraId="765702FB" w14:textId="77777777" w:rsidR="009F47DD" w:rsidRPr="0079361E" w:rsidRDefault="009F47DD" w:rsidP="001200DE">
          <w:pPr>
            <w:pStyle w:val="BodyText"/>
          </w:pPr>
        </w:p>
        <w:p w14:paraId="2FE81427" w14:textId="7BE4C210" w:rsidR="00525522" w:rsidRDefault="0079361E" w:rsidP="001200DE">
          <w:pPr>
            <w:pStyle w:val="BodyText"/>
          </w:pPr>
          <w:r w:rsidRPr="0079361E">
            <w:t xml:space="preserve">EPA acknowledges Aboriginal people as the first peoples and Traditional custodians of the land </w:t>
          </w:r>
          <w:r w:rsidR="00A176AD">
            <w:br/>
          </w:r>
          <w:r w:rsidRPr="0079361E">
            <w:t xml:space="preserve">and water on which we live, work and depend. We pay respect to Aboriginal Elders past and present </w:t>
          </w:r>
          <w:r w:rsidR="00A176AD">
            <w:br/>
          </w:r>
          <w:r w:rsidRPr="0079361E">
            <w:t xml:space="preserve">and </w:t>
          </w:r>
          <w:proofErr w:type="spellStart"/>
          <w:r w:rsidRPr="0079361E">
            <w:t>recognise</w:t>
          </w:r>
          <w:proofErr w:type="spellEnd"/>
          <w:r w:rsidRPr="0079361E">
            <w:t xml:space="preserve"> the continuing connection to, and aspirations for Country.</w:t>
          </w:r>
        </w:p>
        <w:p w14:paraId="5B7D3801" w14:textId="77777777" w:rsidR="0079361E" w:rsidRPr="0079361E" w:rsidRDefault="0079361E" w:rsidP="001200DE">
          <w:pPr>
            <w:pStyle w:val="Header"/>
          </w:pPr>
        </w:p>
        <w:p w14:paraId="403A883F" w14:textId="77777777" w:rsidR="0079361E" w:rsidRDefault="0079361E" w:rsidP="001200DE">
          <w:pPr>
            <w:rPr>
              <w:rFonts w:ascii="Arial" w:hAnsi="Arial"/>
              <w:b/>
              <w:bCs/>
              <w:noProof/>
              <w:color w:val="00B4E1"/>
              <w:lang w:eastAsia="en-GB"/>
            </w:rPr>
          </w:pPr>
          <w:r>
            <w:rPr>
              <w:rFonts w:ascii="Arial" w:hAnsi="Arial"/>
              <w:b/>
              <w:noProof/>
              <w:color w:val="00B4E1"/>
              <w:lang w:eastAsia="en-GB"/>
            </w:rPr>
            <w:drawing>
              <wp:inline distT="0" distB="0" distL="0" distR="0" wp14:anchorId="2089B50D" wp14:editId="5DF3773B">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76491A81" w14:textId="77777777" w:rsidR="00E76931" w:rsidRPr="00E76931" w:rsidRDefault="00E76931" w:rsidP="001200DE">
          <w:pPr>
            <w:rPr>
              <w:lang w:eastAsia="en-US" w:bidi="he-IL"/>
            </w:rPr>
          </w:pPr>
        </w:p>
        <w:p w14:paraId="7C5A9314" w14:textId="77777777" w:rsidR="00E76931" w:rsidRPr="00E76931" w:rsidRDefault="00E76931" w:rsidP="001200DE">
          <w:pPr>
            <w:rPr>
              <w:lang w:eastAsia="en-US" w:bidi="he-IL"/>
            </w:rPr>
          </w:pPr>
        </w:p>
        <w:p w14:paraId="7F868EAA" w14:textId="77777777" w:rsidR="00E76931" w:rsidRPr="00E76931" w:rsidRDefault="00E76931" w:rsidP="001200DE">
          <w:pPr>
            <w:rPr>
              <w:lang w:eastAsia="en-US" w:bidi="he-IL"/>
            </w:rPr>
          </w:pPr>
        </w:p>
        <w:p w14:paraId="158F19B5" w14:textId="77777777" w:rsidR="00E76931" w:rsidRPr="00E76931" w:rsidRDefault="00E76931" w:rsidP="001200DE">
          <w:pPr>
            <w:rPr>
              <w:lang w:eastAsia="en-US" w:bidi="he-IL"/>
            </w:rPr>
          </w:pPr>
        </w:p>
        <w:p w14:paraId="1F66664D" w14:textId="77777777" w:rsidR="00E76931" w:rsidRPr="00E76931" w:rsidRDefault="00E76931" w:rsidP="001200DE">
          <w:pPr>
            <w:rPr>
              <w:lang w:eastAsia="en-US" w:bidi="he-IL"/>
            </w:rPr>
          </w:pPr>
        </w:p>
        <w:p w14:paraId="69298FDE" w14:textId="77777777" w:rsidR="00E76931" w:rsidRPr="00E76931" w:rsidRDefault="00E76931" w:rsidP="001200DE">
          <w:pPr>
            <w:rPr>
              <w:lang w:eastAsia="en-US" w:bidi="he-IL"/>
            </w:rPr>
          </w:pPr>
        </w:p>
        <w:p w14:paraId="45F5C9A8" w14:textId="77777777" w:rsidR="00E76931" w:rsidRPr="00E76931" w:rsidRDefault="00E76931" w:rsidP="001200DE">
          <w:pPr>
            <w:rPr>
              <w:lang w:eastAsia="en-US" w:bidi="he-IL"/>
            </w:rPr>
          </w:pPr>
        </w:p>
        <w:p w14:paraId="7941E4A9" w14:textId="77777777" w:rsidR="00E76931" w:rsidRPr="00E76931" w:rsidRDefault="00E76931" w:rsidP="001200DE">
          <w:pPr>
            <w:rPr>
              <w:lang w:eastAsia="en-US" w:bidi="he-IL"/>
            </w:rPr>
          </w:pPr>
        </w:p>
        <w:p w14:paraId="1DAE7EAA" w14:textId="77777777" w:rsidR="00E76931" w:rsidRPr="00E76931" w:rsidRDefault="00E76931" w:rsidP="001200DE">
          <w:pPr>
            <w:rPr>
              <w:lang w:eastAsia="en-US" w:bidi="he-IL"/>
            </w:rPr>
          </w:pPr>
        </w:p>
        <w:p w14:paraId="483E38B9" w14:textId="77777777" w:rsidR="00E76931" w:rsidRPr="00E76931" w:rsidRDefault="00E76931" w:rsidP="001200DE">
          <w:pPr>
            <w:rPr>
              <w:lang w:eastAsia="en-US" w:bidi="he-IL"/>
            </w:rPr>
          </w:pPr>
        </w:p>
        <w:p w14:paraId="706DEA68" w14:textId="77777777" w:rsidR="00E76931" w:rsidRPr="00E76931" w:rsidRDefault="00E76931" w:rsidP="001200DE">
          <w:pPr>
            <w:rPr>
              <w:lang w:eastAsia="en-US" w:bidi="he-IL"/>
            </w:rPr>
          </w:pPr>
        </w:p>
        <w:p w14:paraId="31FE501C" w14:textId="77777777" w:rsidR="00E76931" w:rsidRPr="00E76931" w:rsidRDefault="00E76931" w:rsidP="001200DE">
          <w:pPr>
            <w:rPr>
              <w:lang w:eastAsia="en-US" w:bidi="he-IL"/>
            </w:rPr>
          </w:pPr>
        </w:p>
        <w:p w14:paraId="16AF173C" w14:textId="77777777" w:rsidR="00525522" w:rsidRDefault="00525522" w:rsidP="001200DE">
          <w:pPr>
            <w:spacing w:after="0"/>
            <w:rPr>
              <w:rFonts w:ascii="VIC-Medium"/>
              <w:color w:val="003E71"/>
              <w:spacing w:val="-2"/>
              <w:sz w:val="32"/>
            </w:rPr>
          </w:pPr>
          <w:r>
            <w:rPr>
              <w:rFonts w:ascii="VIC-Medium"/>
              <w:color w:val="003E71"/>
              <w:spacing w:val="-2"/>
              <w:sz w:val="32"/>
            </w:rPr>
            <w:br w:type="page"/>
          </w:r>
        </w:p>
        <w:sdt>
          <w:sdtPr>
            <w:rPr>
              <w:rFonts w:ascii="VIC" w:eastAsia="Times New Roman" w:hAnsi="VIC" w:cs="Arial"/>
              <w:color w:val="auto"/>
              <w:sz w:val="20"/>
              <w:szCs w:val="20"/>
              <w:lang w:val="en-AU" w:eastAsia="en-AU"/>
            </w:rPr>
            <w:id w:val="1691254130"/>
            <w:docPartObj>
              <w:docPartGallery w:val="Table of Contents"/>
              <w:docPartUnique/>
            </w:docPartObj>
          </w:sdtPr>
          <w:sdtEndPr>
            <w:rPr>
              <w:b/>
              <w:bCs/>
              <w:noProof/>
            </w:rPr>
          </w:sdtEndPr>
          <w:sdtContent>
            <w:p w14:paraId="7027D7CF" w14:textId="3FC2E210" w:rsidR="001324F3" w:rsidRDefault="001324F3">
              <w:pPr>
                <w:pStyle w:val="TOCHeading"/>
              </w:pPr>
              <w:r>
                <w:t>Contents</w:t>
              </w:r>
            </w:p>
            <w:p w14:paraId="3F411A13" w14:textId="2A853CEA" w:rsidR="001324F3" w:rsidRDefault="001324F3" w:rsidP="001324F3">
              <w:pPr>
                <w:pStyle w:val="TOC1"/>
                <w:tabs>
                  <w:tab w:val="right" w:leader="dot" w:pos="10163"/>
                </w:tabs>
                <w:spacing w:before="240" w:after="240"/>
                <w:rPr>
                  <w:rFonts w:asciiTheme="minorHAnsi" w:eastAsiaTheme="minorEastAsia" w:hAnsiTheme="minorHAnsi" w:cstheme="minorBidi"/>
                  <w:noProof/>
                  <w:color w:val="auto"/>
                  <w:sz w:val="22"/>
                  <w:szCs w:val="22"/>
                  <w:lang w:val="en-AU" w:eastAsia="en-AU"/>
                </w:rPr>
              </w:pPr>
              <w:r>
                <w:fldChar w:fldCharType="begin"/>
              </w:r>
              <w:r>
                <w:instrText xml:space="preserve"> TOC \o "1-3" \h \z \u </w:instrText>
              </w:r>
              <w:r>
                <w:fldChar w:fldCharType="separate"/>
              </w:r>
              <w:hyperlink w:anchor="_Toc133420531" w:history="1">
                <w:r w:rsidRPr="00224980">
                  <w:rPr>
                    <w:rStyle w:val="Hyperlink"/>
                    <w:noProof/>
                  </w:rPr>
                  <w:t>Introduction &amp; overview</w:t>
                </w:r>
                <w:r>
                  <w:rPr>
                    <w:noProof/>
                    <w:webHidden/>
                  </w:rPr>
                  <w:tab/>
                </w:r>
                <w:r>
                  <w:rPr>
                    <w:noProof/>
                    <w:webHidden/>
                  </w:rPr>
                  <w:fldChar w:fldCharType="begin"/>
                </w:r>
                <w:r>
                  <w:rPr>
                    <w:noProof/>
                    <w:webHidden/>
                  </w:rPr>
                  <w:instrText xml:space="preserve"> PAGEREF _Toc133420531 \h </w:instrText>
                </w:r>
                <w:r>
                  <w:rPr>
                    <w:noProof/>
                    <w:webHidden/>
                  </w:rPr>
                </w:r>
                <w:r>
                  <w:rPr>
                    <w:noProof/>
                    <w:webHidden/>
                  </w:rPr>
                  <w:fldChar w:fldCharType="separate"/>
                </w:r>
                <w:r w:rsidR="004446A8">
                  <w:rPr>
                    <w:noProof/>
                    <w:webHidden/>
                  </w:rPr>
                  <w:t>4</w:t>
                </w:r>
                <w:r>
                  <w:rPr>
                    <w:noProof/>
                    <w:webHidden/>
                  </w:rPr>
                  <w:fldChar w:fldCharType="end"/>
                </w:r>
              </w:hyperlink>
            </w:p>
            <w:p w14:paraId="3F922125" w14:textId="4B76E093"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32" w:history="1">
                <w:r w:rsidR="001324F3" w:rsidRPr="00224980">
                  <w:rPr>
                    <w:rStyle w:val="Hyperlink"/>
                    <w:noProof/>
                  </w:rPr>
                  <w:t>1.1 Background</w:t>
                </w:r>
                <w:r w:rsidR="001324F3">
                  <w:rPr>
                    <w:noProof/>
                    <w:webHidden/>
                  </w:rPr>
                  <w:tab/>
                </w:r>
                <w:r w:rsidR="001324F3">
                  <w:rPr>
                    <w:noProof/>
                    <w:webHidden/>
                  </w:rPr>
                  <w:fldChar w:fldCharType="begin"/>
                </w:r>
                <w:r w:rsidR="001324F3">
                  <w:rPr>
                    <w:noProof/>
                    <w:webHidden/>
                  </w:rPr>
                  <w:instrText xml:space="preserve"> PAGEREF _Toc133420532 \h </w:instrText>
                </w:r>
                <w:r w:rsidR="001324F3">
                  <w:rPr>
                    <w:noProof/>
                    <w:webHidden/>
                  </w:rPr>
                </w:r>
                <w:r w:rsidR="001324F3">
                  <w:rPr>
                    <w:noProof/>
                    <w:webHidden/>
                  </w:rPr>
                  <w:fldChar w:fldCharType="separate"/>
                </w:r>
                <w:r>
                  <w:rPr>
                    <w:noProof/>
                    <w:webHidden/>
                  </w:rPr>
                  <w:t>4</w:t>
                </w:r>
                <w:r w:rsidR="001324F3">
                  <w:rPr>
                    <w:noProof/>
                    <w:webHidden/>
                  </w:rPr>
                  <w:fldChar w:fldCharType="end"/>
                </w:r>
              </w:hyperlink>
            </w:p>
            <w:p w14:paraId="640E64E7" w14:textId="469607F0"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33" w:history="1">
                <w:r w:rsidR="001324F3" w:rsidRPr="00224980">
                  <w:rPr>
                    <w:rStyle w:val="Hyperlink"/>
                    <w:noProof/>
                  </w:rPr>
                  <w:t>1.2 Overview</w:t>
                </w:r>
                <w:r w:rsidR="001324F3">
                  <w:rPr>
                    <w:noProof/>
                    <w:webHidden/>
                  </w:rPr>
                  <w:tab/>
                </w:r>
                <w:r w:rsidR="001324F3">
                  <w:rPr>
                    <w:noProof/>
                    <w:webHidden/>
                  </w:rPr>
                  <w:fldChar w:fldCharType="begin"/>
                </w:r>
                <w:r w:rsidR="001324F3">
                  <w:rPr>
                    <w:noProof/>
                    <w:webHidden/>
                  </w:rPr>
                  <w:instrText xml:space="preserve"> PAGEREF _Toc133420533 \h </w:instrText>
                </w:r>
                <w:r w:rsidR="001324F3">
                  <w:rPr>
                    <w:noProof/>
                    <w:webHidden/>
                  </w:rPr>
                </w:r>
                <w:r w:rsidR="001324F3">
                  <w:rPr>
                    <w:noProof/>
                    <w:webHidden/>
                  </w:rPr>
                  <w:fldChar w:fldCharType="separate"/>
                </w:r>
                <w:r>
                  <w:rPr>
                    <w:noProof/>
                    <w:webHidden/>
                  </w:rPr>
                  <w:t>4</w:t>
                </w:r>
                <w:r w:rsidR="001324F3">
                  <w:rPr>
                    <w:noProof/>
                    <w:webHidden/>
                  </w:rPr>
                  <w:fldChar w:fldCharType="end"/>
                </w:r>
              </w:hyperlink>
            </w:p>
            <w:p w14:paraId="1741D14E" w14:textId="241F3AB3"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34" w:history="1">
                <w:r w:rsidR="001324F3" w:rsidRPr="00224980">
                  <w:rPr>
                    <w:rStyle w:val="Hyperlink"/>
                    <w:noProof/>
                  </w:rPr>
                  <w:t>1.3 Aim</w:t>
                </w:r>
                <w:r w:rsidR="001324F3">
                  <w:rPr>
                    <w:noProof/>
                    <w:webHidden/>
                  </w:rPr>
                  <w:tab/>
                </w:r>
                <w:r w:rsidR="001324F3">
                  <w:rPr>
                    <w:noProof/>
                    <w:webHidden/>
                  </w:rPr>
                  <w:fldChar w:fldCharType="begin"/>
                </w:r>
                <w:r w:rsidR="001324F3">
                  <w:rPr>
                    <w:noProof/>
                    <w:webHidden/>
                  </w:rPr>
                  <w:instrText xml:space="preserve"> PAGEREF _Toc133420534 \h </w:instrText>
                </w:r>
                <w:r w:rsidR="001324F3">
                  <w:rPr>
                    <w:noProof/>
                    <w:webHidden/>
                  </w:rPr>
                </w:r>
                <w:r w:rsidR="001324F3">
                  <w:rPr>
                    <w:noProof/>
                    <w:webHidden/>
                  </w:rPr>
                  <w:fldChar w:fldCharType="separate"/>
                </w:r>
                <w:r>
                  <w:rPr>
                    <w:noProof/>
                    <w:webHidden/>
                  </w:rPr>
                  <w:t>4</w:t>
                </w:r>
                <w:r w:rsidR="001324F3">
                  <w:rPr>
                    <w:noProof/>
                    <w:webHidden/>
                  </w:rPr>
                  <w:fldChar w:fldCharType="end"/>
                </w:r>
              </w:hyperlink>
            </w:p>
            <w:p w14:paraId="53075994" w14:textId="07461813"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35" w:history="1">
                <w:r w:rsidR="001324F3" w:rsidRPr="00224980">
                  <w:rPr>
                    <w:rStyle w:val="Hyperlink"/>
                    <w:noProof/>
                  </w:rPr>
                  <w:t>1.4. What is the temporal and spatial scope of this study?</w:t>
                </w:r>
                <w:r w:rsidR="001324F3">
                  <w:rPr>
                    <w:noProof/>
                    <w:webHidden/>
                  </w:rPr>
                  <w:tab/>
                </w:r>
                <w:r w:rsidR="001324F3">
                  <w:rPr>
                    <w:noProof/>
                    <w:webHidden/>
                  </w:rPr>
                  <w:fldChar w:fldCharType="begin"/>
                </w:r>
                <w:r w:rsidR="001324F3">
                  <w:rPr>
                    <w:noProof/>
                    <w:webHidden/>
                  </w:rPr>
                  <w:instrText xml:space="preserve"> PAGEREF _Toc133420535 \h </w:instrText>
                </w:r>
                <w:r w:rsidR="001324F3">
                  <w:rPr>
                    <w:noProof/>
                    <w:webHidden/>
                  </w:rPr>
                </w:r>
                <w:r w:rsidR="001324F3">
                  <w:rPr>
                    <w:noProof/>
                    <w:webHidden/>
                  </w:rPr>
                  <w:fldChar w:fldCharType="separate"/>
                </w:r>
                <w:r>
                  <w:rPr>
                    <w:noProof/>
                    <w:webHidden/>
                  </w:rPr>
                  <w:t>4</w:t>
                </w:r>
                <w:r w:rsidR="001324F3">
                  <w:rPr>
                    <w:noProof/>
                    <w:webHidden/>
                  </w:rPr>
                  <w:fldChar w:fldCharType="end"/>
                </w:r>
              </w:hyperlink>
            </w:p>
            <w:p w14:paraId="5C045E1A" w14:textId="1A16A843"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36" w:history="1">
                <w:r w:rsidR="001324F3" w:rsidRPr="00224980">
                  <w:rPr>
                    <w:rStyle w:val="Hyperlink"/>
                    <w:noProof/>
                  </w:rPr>
                  <w:t>1.5 What species were targeted and why?</w:t>
                </w:r>
                <w:r w:rsidR="001324F3">
                  <w:rPr>
                    <w:noProof/>
                    <w:webHidden/>
                  </w:rPr>
                  <w:tab/>
                </w:r>
                <w:r w:rsidR="001324F3">
                  <w:rPr>
                    <w:noProof/>
                    <w:webHidden/>
                  </w:rPr>
                  <w:fldChar w:fldCharType="begin"/>
                </w:r>
                <w:r w:rsidR="001324F3">
                  <w:rPr>
                    <w:noProof/>
                    <w:webHidden/>
                  </w:rPr>
                  <w:instrText xml:space="preserve"> PAGEREF _Toc133420536 \h </w:instrText>
                </w:r>
                <w:r w:rsidR="001324F3">
                  <w:rPr>
                    <w:noProof/>
                    <w:webHidden/>
                  </w:rPr>
                </w:r>
                <w:r w:rsidR="001324F3">
                  <w:rPr>
                    <w:noProof/>
                    <w:webHidden/>
                  </w:rPr>
                  <w:fldChar w:fldCharType="separate"/>
                </w:r>
                <w:r>
                  <w:rPr>
                    <w:noProof/>
                    <w:webHidden/>
                  </w:rPr>
                  <w:t>6</w:t>
                </w:r>
                <w:r w:rsidR="001324F3">
                  <w:rPr>
                    <w:noProof/>
                    <w:webHidden/>
                  </w:rPr>
                  <w:fldChar w:fldCharType="end"/>
                </w:r>
              </w:hyperlink>
            </w:p>
            <w:p w14:paraId="2E9AF565" w14:textId="608DF1C0"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37" w:history="1">
                <w:r w:rsidR="001324F3" w:rsidRPr="00224980">
                  <w:rPr>
                    <w:rStyle w:val="Hyperlink"/>
                    <w:noProof/>
                  </w:rPr>
                  <w:t>1.6 What elements were targeted and why?</w:t>
                </w:r>
                <w:r w:rsidR="001324F3">
                  <w:rPr>
                    <w:noProof/>
                    <w:webHidden/>
                  </w:rPr>
                  <w:tab/>
                </w:r>
                <w:r w:rsidR="001324F3">
                  <w:rPr>
                    <w:noProof/>
                    <w:webHidden/>
                  </w:rPr>
                  <w:fldChar w:fldCharType="begin"/>
                </w:r>
                <w:r w:rsidR="001324F3">
                  <w:rPr>
                    <w:noProof/>
                    <w:webHidden/>
                  </w:rPr>
                  <w:instrText xml:space="preserve"> PAGEREF _Toc133420537 \h </w:instrText>
                </w:r>
                <w:r w:rsidR="001324F3">
                  <w:rPr>
                    <w:noProof/>
                    <w:webHidden/>
                  </w:rPr>
                </w:r>
                <w:r w:rsidR="001324F3">
                  <w:rPr>
                    <w:noProof/>
                    <w:webHidden/>
                  </w:rPr>
                  <w:fldChar w:fldCharType="separate"/>
                </w:r>
                <w:r>
                  <w:rPr>
                    <w:noProof/>
                    <w:webHidden/>
                  </w:rPr>
                  <w:t>6</w:t>
                </w:r>
                <w:r w:rsidR="001324F3">
                  <w:rPr>
                    <w:noProof/>
                    <w:webHidden/>
                  </w:rPr>
                  <w:fldChar w:fldCharType="end"/>
                </w:r>
              </w:hyperlink>
            </w:p>
            <w:p w14:paraId="09C4F764" w14:textId="13D34525"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38" w:history="1">
                <w:r w:rsidR="001324F3" w:rsidRPr="00224980">
                  <w:rPr>
                    <w:rStyle w:val="Hyperlink"/>
                    <w:noProof/>
                  </w:rPr>
                  <w:t>1.7 Why is lead of concern?</w:t>
                </w:r>
                <w:r w:rsidR="001324F3">
                  <w:rPr>
                    <w:noProof/>
                    <w:webHidden/>
                  </w:rPr>
                  <w:tab/>
                </w:r>
                <w:r w:rsidR="001324F3">
                  <w:rPr>
                    <w:noProof/>
                    <w:webHidden/>
                  </w:rPr>
                  <w:fldChar w:fldCharType="begin"/>
                </w:r>
                <w:r w:rsidR="001324F3">
                  <w:rPr>
                    <w:noProof/>
                    <w:webHidden/>
                  </w:rPr>
                  <w:instrText xml:space="preserve"> PAGEREF _Toc133420538 \h </w:instrText>
                </w:r>
                <w:r w:rsidR="001324F3">
                  <w:rPr>
                    <w:noProof/>
                    <w:webHidden/>
                  </w:rPr>
                </w:r>
                <w:r w:rsidR="001324F3">
                  <w:rPr>
                    <w:noProof/>
                    <w:webHidden/>
                  </w:rPr>
                  <w:fldChar w:fldCharType="separate"/>
                </w:r>
                <w:r>
                  <w:rPr>
                    <w:noProof/>
                    <w:webHidden/>
                  </w:rPr>
                  <w:t>6</w:t>
                </w:r>
                <w:r w:rsidR="001324F3">
                  <w:rPr>
                    <w:noProof/>
                    <w:webHidden/>
                  </w:rPr>
                  <w:fldChar w:fldCharType="end"/>
                </w:r>
              </w:hyperlink>
            </w:p>
            <w:p w14:paraId="645366AE" w14:textId="2F5D5370" w:rsidR="001324F3" w:rsidRDefault="004446A8" w:rsidP="001324F3">
              <w:pPr>
                <w:pStyle w:val="TOC1"/>
                <w:tabs>
                  <w:tab w:val="right" w:leader="dot" w:pos="10163"/>
                </w:tabs>
                <w:spacing w:before="240" w:after="240"/>
                <w:rPr>
                  <w:rFonts w:asciiTheme="minorHAnsi" w:eastAsiaTheme="minorEastAsia" w:hAnsiTheme="minorHAnsi" w:cstheme="minorBidi"/>
                  <w:noProof/>
                  <w:color w:val="auto"/>
                  <w:sz w:val="22"/>
                  <w:szCs w:val="22"/>
                  <w:lang w:val="en-AU" w:eastAsia="en-AU"/>
                </w:rPr>
              </w:pPr>
              <w:hyperlink w:anchor="_Toc133420539" w:history="1">
                <w:r w:rsidR="001324F3" w:rsidRPr="00224980">
                  <w:rPr>
                    <w:rStyle w:val="Hyperlink"/>
                    <w:noProof/>
                  </w:rPr>
                  <w:t>Summary Results</w:t>
                </w:r>
                <w:r w:rsidR="001324F3">
                  <w:rPr>
                    <w:noProof/>
                    <w:webHidden/>
                  </w:rPr>
                  <w:tab/>
                </w:r>
                <w:r w:rsidR="001324F3">
                  <w:rPr>
                    <w:noProof/>
                    <w:webHidden/>
                  </w:rPr>
                  <w:fldChar w:fldCharType="begin"/>
                </w:r>
                <w:r w:rsidR="001324F3">
                  <w:rPr>
                    <w:noProof/>
                    <w:webHidden/>
                  </w:rPr>
                  <w:instrText xml:space="preserve"> PAGEREF _Toc133420539 \h </w:instrText>
                </w:r>
                <w:r w:rsidR="001324F3">
                  <w:rPr>
                    <w:noProof/>
                    <w:webHidden/>
                  </w:rPr>
                </w:r>
                <w:r w:rsidR="001324F3">
                  <w:rPr>
                    <w:noProof/>
                    <w:webHidden/>
                  </w:rPr>
                  <w:fldChar w:fldCharType="separate"/>
                </w:r>
                <w:r>
                  <w:rPr>
                    <w:noProof/>
                    <w:webHidden/>
                  </w:rPr>
                  <w:t>7</w:t>
                </w:r>
                <w:r w:rsidR="001324F3">
                  <w:rPr>
                    <w:noProof/>
                    <w:webHidden/>
                  </w:rPr>
                  <w:fldChar w:fldCharType="end"/>
                </w:r>
              </w:hyperlink>
            </w:p>
            <w:p w14:paraId="6E97199E" w14:textId="5A39C2DB"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40" w:history="1">
                <w:r w:rsidR="001324F3" w:rsidRPr="00224980">
                  <w:rPr>
                    <w:rStyle w:val="Hyperlink"/>
                    <w:noProof/>
                  </w:rPr>
                  <w:t>1.8 Comparison to domestic poultry meat (all species combined)</w:t>
                </w:r>
                <w:r w:rsidR="001324F3">
                  <w:rPr>
                    <w:noProof/>
                    <w:webHidden/>
                  </w:rPr>
                  <w:tab/>
                </w:r>
                <w:r w:rsidR="001324F3">
                  <w:rPr>
                    <w:noProof/>
                    <w:webHidden/>
                  </w:rPr>
                  <w:fldChar w:fldCharType="begin"/>
                </w:r>
                <w:r w:rsidR="001324F3">
                  <w:rPr>
                    <w:noProof/>
                    <w:webHidden/>
                  </w:rPr>
                  <w:instrText xml:space="preserve"> PAGEREF _Toc133420540 \h </w:instrText>
                </w:r>
                <w:r w:rsidR="001324F3">
                  <w:rPr>
                    <w:noProof/>
                    <w:webHidden/>
                  </w:rPr>
                </w:r>
                <w:r w:rsidR="001324F3">
                  <w:rPr>
                    <w:noProof/>
                    <w:webHidden/>
                  </w:rPr>
                  <w:fldChar w:fldCharType="separate"/>
                </w:r>
                <w:r>
                  <w:rPr>
                    <w:noProof/>
                    <w:webHidden/>
                  </w:rPr>
                  <w:t>7</w:t>
                </w:r>
                <w:r w:rsidR="001324F3">
                  <w:rPr>
                    <w:noProof/>
                    <w:webHidden/>
                  </w:rPr>
                  <w:fldChar w:fldCharType="end"/>
                </w:r>
              </w:hyperlink>
            </w:p>
            <w:p w14:paraId="35BEBEA1" w14:textId="004E9631" w:rsidR="001324F3" w:rsidRDefault="004446A8" w:rsidP="001324F3">
              <w:pPr>
                <w:pStyle w:val="TOC3"/>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41" w:history="1">
                <w:r w:rsidR="001324F3" w:rsidRPr="00224980">
                  <w:rPr>
                    <w:rStyle w:val="Hyperlink"/>
                    <w:noProof/>
                  </w:rPr>
                  <w:t>1.8.1 Meat</w:t>
                </w:r>
                <w:r w:rsidR="001324F3">
                  <w:rPr>
                    <w:noProof/>
                    <w:webHidden/>
                  </w:rPr>
                  <w:tab/>
                </w:r>
                <w:r w:rsidR="001324F3">
                  <w:rPr>
                    <w:noProof/>
                    <w:webHidden/>
                  </w:rPr>
                  <w:fldChar w:fldCharType="begin"/>
                </w:r>
                <w:r w:rsidR="001324F3">
                  <w:rPr>
                    <w:noProof/>
                    <w:webHidden/>
                  </w:rPr>
                  <w:instrText xml:space="preserve"> PAGEREF _Toc133420541 \h </w:instrText>
                </w:r>
                <w:r w:rsidR="001324F3">
                  <w:rPr>
                    <w:noProof/>
                    <w:webHidden/>
                  </w:rPr>
                </w:r>
                <w:r w:rsidR="001324F3">
                  <w:rPr>
                    <w:noProof/>
                    <w:webHidden/>
                  </w:rPr>
                  <w:fldChar w:fldCharType="separate"/>
                </w:r>
                <w:r>
                  <w:rPr>
                    <w:noProof/>
                    <w:webHidden/>
                  </w:rPr>
                  <w:t>7</w:t>
                </w:r>
                <w:r w:rsidR="001324F3">
                  <w:rPr>
                    <w:noProof/>
                    <w:webHidden/>
                  </w:rPr>
                  <w:fldChar w:fldCharType="end"/>
                </w:r>
              </w:hyperlink>
            </w:p>
            <w:p w14:paraId="71A4069E" w14:textId="14AA5A8B" w:rsidR="001324F3" w:rsidRDefault="004446A8" w:rsidP="001324F3">
              <w:pPr>
                <w:pStyle w:val="TOC3"/>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42" w:history="1">
                <w:r w:rsidR="001324F3" w:rsidRPr="00224980">
                  <w:rPr>
                    <w:rStyle w:val="Hyperlink"/>
                    <w:noProof/>
                  </w:rPr>
                  <w:t>1.8.2 Liver</w:t>
                </w:r>
                <w:r w:rsidR="001324F3">
                  <w:rPr>
                    <w:noProof/>
                    <w:webHidden/>
                  </w:rPr>
                  <w:tab/>
                </w:r>
                <w:r w:rsidR="001324F3">
                  <w:rPr>
                    <w:noProof/>
                    <w:webHidden/>
                  </w:rPr>
                  <w:fldChar w:fldCharType="begin"/>
                </w:r>
                <w:r w:rsidR="001324F3">
                  <w:rPr>
                    <w:noProof/>
                    <w:webHidden/>
                  </w:rPr>
                  <w:instrText xml:space="preserve"> PAGEREF _Toc133420542 \h </w:instrText>
                </w:r>
                <w:r w:rsidR="001324F3">
                  <w:rPr>
                    <w:noProof/>
                    <w:webHidden/>
                  </w:rPr>
                </w:r>
                <w:r w:rsidR="001324F3">
                  <w:rPr>
                    <w:noProof/>
                    <w:webHidden/>
                  </w:rPr>
                  <w:fldChar w:fldCharType="separate"/>
                </w:r>
                <w:r>
                  <w:rPr>
                    <w:noProof/>
                    <w:webHidden/>
                  </w:rPr>
                  <w:t>7</w:t>
                </w:r>
                <w:r w:rsidR="001324F3">
                  <w:rPr>
                    <w:noProof/>
                    <w:webHidden/>
                  </w:rPr>
                  <w:fldChar w:fldCharType="end"/>
                </w:r>
              </w:hyperlink>
            </w:p>
            <w:p w14:paraId="3C9EDD53" w14:textId="14A296E0"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43" w:history="1">
                <w:r w:rsidR="001324F3" w:rsidRPr="00224980">
                  <w:rPr>
                    <w:rStyle w:val="Hyperlink"/>
                    <w:noProof/>
                  </w:rPr>
                  <w:t>1.9 Comparison to guidelines (all species combined)</w:t>
                </w:r>
                <w:r w:rsidR="001324F3">
                  <w:rPr>
                    <w:noProof/>
                    <w:webHidden/>
                  </w:rPr>
                  <w:tab/>
                </w:r>
                <w:r w:rsidR="001324F3">
                  <w:rPr>
                    <w:noProof/>
                    <w:webHidden/>
                  </w:rPr>
                  <w:fldChar w:fldCharType="begin"/>
                </w:r>
                <w:r w:rsidR="001324F3">
                  <w:rPr>
                    <w:noProof/>
                    <w:webHidden/>
                  </w:rPr>
                  <w:instrText xml:space="preserve"> PAGEREF _Toc133420543 \h </w:instrText>
                </w:r>
                <w:r w:rsidR="001324F3">
                  <w:rPr>
                    <w:noProof/>
                    <w:webHidden/>
                  </w:rPr>
                </w:r>
                <w:r w:rsidR="001324F3">
                  <w:rPr>
                    <w:noProof/>
                    <w:webHidden/>
                  </w:rPr>
                  <w:fldChar w:fldCharType="separate"/>
                </w:r>
                <w:r>
                  <w:rPr>
                    <w:noProof/>
                    <w:webHidden/>
                  </w:rPr>
                  <w:t>8</w:t>
                </w:r>
                <w:r w:rsidR="001324F3">
                  <w:rPr>
                    <w:noProof/>
                    <w:webHidden/>
                  </w:rPr>
                  <w:fldChar w:fldCharType="end"/>
                </w:r>
              </w:hyperlink>
            </w:p>
            <w:p w14:paraId="359D91CB" w14:textId="7E2C85DE"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44" w:history="1">
                <w:r w:rsidR="001324F3" w:rsidRPr="00224980">
                  <w:rPr>
                    <w:rStyle w:val="Hyperlink"/>
                    <w:noProof/>
                  </w:rPr>
                  <w:t>1.10 Daily intake assessments (all species combined)</w:t>
                </w:r>
                <w:r w:rsidR="001324F3">
                  <w:rPr>
                    <w:noProof/>
                    <w:webHidden/>
                  </w:rPr>
                  <w:tab/>
                </w:r>
                <w:r w:rsidR="001324F3">
                  <w:rPr>
                    <w:noProof/>
                    <w:webHidden/>
                  </w:rPr>
                  <w:fldChar w:fldCharType="begin"/>
                </w:r>
                <w:r w:rsidR="001324F3">
                  <w:rPr>
                    <w:noProof/>
                    <w:webHidden/>
                  </w:rPr>
                  <w:instrText xml:space="preserve"> PAGEREF _Toc133420544 \h </w:instrText>
                </w:r>
                <w:r w:rsidR="001324F3">
                  <w:rPr>
                    <w:noProof/>
                    <w:webHidden/>
                  </w:rPr>
                </w:r>
                <w:r w:rsidR="001324F3">
                  <w:rPr>
                    <w:noProof/>
                    <w:webHidden/>
                  </w:rPr>
                  <w:fldChar w:fldCharType="separate"/>
                </w:r>
                <w:r>
                  <w:rPr>
                    <w:noProof/>
                    <w:webHidden/>
                  </w:rPr>
                  <w:t>9</w:t>
                </w:r>
                <w:r w:rsidR="001324F3">
                  <w:rPr>
                    <w:noProof/>
                    <w:webHidden/>
                  </w:rPr>
                  <w:fldChar w:fldCharType="end"/>
                </w:r>
              </w:hyperlink>
            </w:p>
            <w:p w14:paraId="78EEEE03" w14:textId="000F026B" w:rsidR="001324F3" w:rsidRDefault="004446A8" w:rsidP="001324F3">
              <w:pPr>
                <w:pStyle w:val="TOC1"/>
                <w:tabs>
                  <w:tab w:val="right" w:leader="dot" w:pos="10163"/>
                </w:tabs>
                <w:spacing w:before="240" w:after="240"/>
                <w:rPr>
                  <w:rFonts w:asciiTheme="minorHAnsi" w:eastAsiaTheme="minorEastAsia" w:hAnsiTheme="minorHAnsi" w:cstheme="minorBidi"/>
                  <w:noProof/>
                  <w:color w:val="auto"/>
                  <w:sz w:val="22"/>
                  <w:szCs w:val="22"/>
                  <w:lang w:val="en-AU" w:eastAsia="en-AU"/>
                </w:rPr>
              </w:pPr>
              <w:hyperlink w:anchor="_Toc133420545" w:history="1">
                <w:r w:rsidR="001324F3" w:rsidRPr="00224980">
                  <w:rPr>
                    <w:rStyle w:val="Hyperlink"/>
                    <w:noProof/>
                  </w:rPr>
                  <w:t>Advice to public based on EPA’s study</w:t>
                </w:r>
                <w:r w:rsidR="001324F3">
                  <w:rPr>
                    <w:noProof/>
                    <w:webHidden/>
                  </w:rPr>
                  <w:tab/>
                </w:r>
                <w:r w:rsidR="001324F3">
                  <w:rPr>
                    <w:noProof/>
                    <w:webHidden/>
                  </w:rPr>
                  <w:fldChar w:fldCharType="begin"/>
                </w:r>
                <w:r w:rsidR="001324F3">
                  <w:rPr>
                    <w:noProof/>
                    <w:webHidden/>
                  </w:rPr>
                  <w:instrText xml:space="preserve"> PAGEREF _Toc133420545 \h </w:instrText>
                </w:r>
                <w:r w:rsidR="001324F3">
                  <w:rPr>
                    <w:noProof/>
                    <w:webHidden/>
                  </w:rPr>
                </w:r>
                <w:r w:rsidR="001324F3">
                  <w:rPr>
                    <w:noProof/>
                    <w:webHidden/>
                  </w:rPr>
                  <w:fldChar w:fldCharType="separate"/>
                </w:r>
                <w:r>
                  <w:rPr>
                    <w:noProof/>
                    <w:webHidden/>
                  </w:rPr>
                  <w:t>11</w:t>
                </w:r>
                <w:r w:rsidR="001324F3">
                  <w:rPr>
                    <w:noProof/>
                    <w:webHidden/>
                  </w:rPr>
                  <w:fldChar w:fldCharType="end"/>
                </w:r>
              </w:hyperlink>
            </w:p>
            <w:p w14:paraId="012DDE0F" w14:textId="539E8992"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46" w:history="1">
                <w:r w:rsidR="001324F3" w:rsidRPr="00224980">
                  <w:rPr>
                    <w:rStyle w:val="Hyperlink"/>
                    <w:noProof/>
                  </w:rPr>
                  <w:t>1.11. Advice regarding consumption of wild duck meat and livers</w:t>
                </w:r>
                <w:r w:rsidR="001324F3">
                  <w:rPr>
                    <w:noProof/>
                    <w:webHidden/>
                  </w:rPr>
                  <w:tab/>
                </w:r>
                <w:r w:rsidR="001324F3">
                  <w:rPr>
                    <w:noProof/>
                    <w:webHidden/>
                  </w:rPr>
                  <w:fldChar w:fldCharType="begin"/>
                </w:r>
                <w:r w:rsidR="001324F3">
                  <w:rPr>
                    <w:noProof/>
                    <w:webHidden/>
                  </w:rPr>
                  <w:instrText xml:space="preserve"> PAGEREF _Toc133420546 \h </w:instrText>
                </w:r>
                <w:r w:rsidR="001324F3">
                  <w:rPr>
                    <w:noProof/>
                    <w:webHidden/>
                  </w:rPr>
                </w:r>
                <w:r w:rsidR="001324F3">
                  <w:rPr>
                    <w:noProof/>
                    <w:webHidden/>
                  </w:rPr>
                  <w:fldChar w:fldCharType="separate"/>
                </w:r>
                <w:r>
                  <w:rPr>
                    <w:noProof/>
                    <w:webHidden/>
                  </w:rPr>
                  <w:t>11</w:t>
                </w:r>
                <w:r w:rsidR="001324F3">
                  <w:rPr>
                    <w:noProof/>
                    <w:webHidden/>
                  </w:rPr>
                  <w:fldChar w:fldCharType="end"/>
                </w:r>
              </w:hyperlink>
            </w:p>
            <w:p w14:paraId="57AC8764" w14:textId="075D140B" w:rsidR="001324F3" w:rsidRDefault="004446A8" w:rsidP="001324F3">
              <w:pPr>
                <w:pStyle w:val="TOC3"/>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47" w:history="1">
                <w:r w:rsidR="001324F3" w:rsidRPr="00224980">
                  <w:rPr>
                    <w:rStyle w:val="Hyperlink"/>
                    <w:noProof/>
                  </w:rPr>
                  <w:t>1.11.1 Copper and Selenium in breast meat</w:t>
                </w:r>
                <w:r w:rsidR="001324F3">
                  <w:rPr>
                    <w:noProof/>
                    <w:webHidden/>
                  </w:rPr>
                  <w:tab/>
                </w:r>
                <w:r w:rsidR="001324F3">
                  <w:rPr>
                    <w:noProof/>
                    <w:webHidden/>
                  </w:rPr>
                  <w:fldChar w:fldCharType="begin"/>
                </w:r>
                <w:r w:rsidR="001324F3">
                  <w:rPr>
                    <w:noProof/>
                    <w:webHidden/>
                  </w:rPr>
                  <w:instrText xml:space="preserve"> PAGEREF _Toc133420547 \h </w:instrText>
                </w:r>
                <w:r w:rsidR="001324F3">
                  <w:rPr>
                    <w:noProof/>
                    <w:webHidden/>
                  </w:rPr>
                </w:r>
                <w:r w:rsidR="001324F3">
                  <w:rPr>
                    <w:noProof/>
                    <w:webHidden/>
                  </w:rPr>
                  <w:fldChar w:fldCharType="separate"/>
                </w:r>
                <w:r>
                  <w:rPr>
                    <w:noProof/>
                    <w:webHidden/>
                  </w:rPr>
                  <w:t>11</w:t>
                </w:r>
                <w:r w:rsidR="001324F3">
                  <w:rPr>
                    <w:noProof/>
                    <w:webHidden/>
                  </w:rPr>
                  <w:fldChar w:fldCharType="end"/>
                </w:r>
              </w:hyperlink>
            </w:p>
            <w:p w14:paraId="10D2EC09" w14:textId="7E440707" w:rsidR="001324F3" w:rsidRDefault="004446A8" w:rsidP="001324F3">
              <w:pPr>
                <w:pStyle w:val="TOC3"/>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48" w:history="1">
                <w:r w:rsidR="001324F3" w:rsidRPr="00224980">
                  <w:rPr>
                    <w:rStyle w:val="Hyperlink"/>
                    <w:noProof/>
                  </w:rPr>
                  <w:t>1.11.2 Mercury in breast meat</w:t>
                </w:r>
                <w:r w:rsidR="001324F3">
                  <w:rPr>
                    <w:noProof/>
                    <w:webHidden/>
                  </w:rPr>
                  <w:tab/>
                </w:r>
                <w:r w:rsidR="001324F3">
                  <w:rPr>
                    <w:noProof/>
                    <w:webHidden/>
                  </w:rPr>
                  <w:fldChar w:fldCharType="begin"/>
                </w:r>
                <w:r w:rsidR="001324F3">
                  <w:rPr>
                    <w:noProof/>
                    <w:webHidden/>
                  </w:rPr>
                  <w:instrText xml:space="preserve"> PAGEREF _Toc133420548 \h </w:instrText>
                </w:r>
                <w:r w:rsidR="001324F3">
                  <w:rPr>
                    <w:noProof/>
                    <w:webHidden/>
                  </w:rPr>
                </w:r>
                <w:r w:rsidR="001324F3">
                  <w:rPr>
                    <w:noProof/>
                    <w:webHidden/>
                  </w:rPr>
                  <w:fldChar w:fldCharType="separate"/>
                </w:r>
                <w:r>
                  <w:rPr>
                    <w:noProof/>
                    <w:webHidden/>
                  </w:rPr>
                  <w:t>11</w:t>
                </w:r>
                <w:r w:rsidR="001324F3">
                  <w:rPr>
                    <w:noProof/>
                    <w:webHidden/>
                  </w:rPr>
                  <w:fldChar w:fldCharType="end"/>
                </w:r>
              </w:hyperlink>
            </w:p>
            <w:p w14:paraId="06B5D902" w14:textId="1AE828D4" w:rsidR="001324F3" w:rsidRDefault="004446A8" w:rsidP="001324F3">
              <w:pPr>
                <w:pStyle w:val="TOC3"/>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49" w:history="1">
                <w:r w:rsidR="001324F3" w:rsidRPr="00224980">
                  <w:rPr>
                    <w:rStyle w:val="Hyperlink"/>
                    <w:noProof/>
                  </w:rPr>
                  <w:t>1.11.3 Lead in breast meat</w:t>
                </w:r>
                <w:r w:rsidR="001324F3">
                  <w:rPr>
                    <w:noProof/>
                    <w:webHidden/>
                  </w:rPr>
                  <w:tab/>
                </w:r>
                <w:r w:rsidR="001324F3">
                  <w:rPr>
                    <w:noProof/>
                    <w:webHidden/>
                  </w:rPr>
                  <w:fldChar w:fldCharType="begin"/>
                </w:r>
                <w:r w:rsidR="001324F3">
                  <w:rPr>
                    <w:noProof/>
                    <w:webHidden/>
                  </w:rPr>
                  <w:instrText xml:space="preserve"> PAGEREF _Toc133420549 \h </w:instrText>
                </w:r>
                <w:r w:rsidR="001324F3">
                  <w:rPr>
                    <w:noProof/>
                    <w:webHidden/>
                  </w:rPr>
                </w:r>
                <w:r w:rsidR="001324F3">
                  <w:rPr>
                    <w:noProof/>
                    <w:webHidden/>
                  </w:rPr>
                  <w:fldChar w:fldCharType="separate"/>
                </w:r>
                <w:r>
                  <w:rPr>
                    <w:noProof/>
                    <w:webHidden/>
                  </w:rPr>
                  <w:t>11</w:t>
                </w:r>
                <w:r w:rsidR="001324F3">
                  <w:rPr>
                    <w:noProof/>
                    <w:webHidden/>
                  </w:rPr>
                  <w:fldChar w:fldCharType="end"/>
                </w:r>
              </w:hyperlink>
            </w:p>
            <w:p w14:paraId="0952DD00" w14:textId="73A43F66" w:rsidR="001324F3" w:rsidRDefault="004446A8" w:rsidP="001324F3">
              <w:pPr>
                <w:pStyle w:val="TOC3"/>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50" w:history="1">
                <w:r w:rsidR="001324F3" w:rsidRPr="00224980">
                  <w:rPr>
                    <w:rStyle w:val="Hyperlink"/>
                    <w:noProof/>
                  </w:rPr>
                  <w:t>1.11.4 All trace elements in wild duck livers</w:t>
                </w:r>
                <w:r w:rsidR="001324F3">
                  <w:rPr>
                    <w:noProof/>
                    <w:webHidden/>
                  </w:rPr>
                  <w:tab/>
                </w:r>
                <w:r w:rsidR="001324F3">
                  <w:rPr>
                    <w:noProof/>
                    <w:webHidden/>
                  </w:rPr>
                  <w:fldChar w:fldCharType="begin"/>
                </w:r>
                <w:r w:rsidR="001324F3">
                  <w:rPr>
                    <w:noProof/>
                    <w:webHidden/>
                  </w:rPr>
                  <w:instrText xml:space="preserve"> PAGEREF _Toc133420550 \h </w:instrText>
                </w:r>
                <w:r w:rsidR="001324F3">
                  <w:rPr>
                    <w:noProof/>
                    <w:webHidden/>
                  </w:rPr>
                </w:r>
                <w:r w:rsidR="001324F3">
                  <w:rPr>
                    <w:noProof/>
                    <w:webHidden/>
                  </w:rPr>
                  <w:fldChar w:fldCharType="separate"/>
                </w:r>
                <w:r>
                  <w:rPr>
                    <w:noProof/>
                    <w:webHidden/>
                  </w:rPr>
                  <w:t>12</w:t>
                </w:r>
                <w:r w:rsidR="001324F3">
                  <w:rPr>
                    <w:noProof/>
                    <w:webHidden/>
                  </w:rPr>
                  <w:fldChar w:fldCharType="end"/>
                </w:r>
              </w:hyperlink>
            </w:p>
            <w:p w14:paraId="4AF4F01D" w14:textId="32DD3D7E"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51" w:history="1">
                <w:r w:rsidR="001324F3" w:rsidRPr="00224980">
                  <w:rPr>
                    <w:rStyle w:val="Hyperlink"/>
                    <w:noProof/>
                  </w:rPr>
                  <w:t>1.12 Further investigation of lead at sites</w:t>
                </w:r>
                <w:r w:rsidR="001324F3">
                  <w:rPr>
                    <w:noProof/>
                    <w:webHidden/>
                  </w:rPr>
                  <w:tab/>
                </w:r>
                <w:r w:rsidR="001324F3">
                  <w:rPr>
                    <w:noProof/>
                    <w:webHidden/>
                  </w:rPr>
                  <w:fldChar w:fldCharType="begin"/>
                </w:r>
                <w:r w:rsidR="001324F3">
                  <w:rPr>
                    <w:noProof/>
                    <w:webHidden/>
                  </w:rPr>
                  <w:instrText xml:space="preserve"> PAGEREF _Toc133420551 \h </w:instrText>
                </w:r>
                <w:r w:rsidR="001324F3">
                  <w:rPr>
                    <w:noProof/>
                    <w:webHidden/>
                  </w:rPr>
                </w:r>
                <w:r w:rsidR="001324F3">
                  <w:rPr>
                    <w:noProof/>
                    <w:webHidden/>
                  </w:rPr>
                  <w:fldChar w:fldCharType="separate"/>
                </w:r>
                <w:r>
                  <w:rPr>
                    <w:noProof/>
                    <w:webHidden/>
                  </w:rPr>
                  <w:t>12</w:t>
                </w:r>
                <w:r w:rsidR="001324F3">
                  <w:rPr>
                    <w:noProof/>
                    <w:webHidden/>
                  </w:rPr>
                  <w:fldChar w:fldCharType="end"/>
                </w:r>
              </w:hyperlink>
            </w:p>
            <w:p w14:paraId="31AC5B55" w14:textId="70C15405"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52" w:history="1">
                <w:r w:rsidR="001324F3" w:rsidRPr="00224980">
                  <w:rPr>
                    <w:rStyle w:val="Hyperlink"/>
                    <w:noProof/>
                  </w:rPr>
                  <w:t>Accessibility</w:t>
                </w:r>
                <w:r w:rsidR="001324F3">
                  <w:rPr>
                    <w:noProof/>
                    <w:webHidden/>
                  </w:rPr>
                  <w:tab/>
                </w:r>
                <w:r w:rsidR="001324F3">
                  <w:rPr>
                    <w:noProof/>
                    <w:webHidden/>
                  </w:rPr>
                  <w:fldChar w:fldCharType="begin"/>
                </w:r>
                <w:r w:rsidR="001324F3">
                  <w:rPr>
                    <w:noProof/>
                    <w:webHidden/>
                  </w:rPr>
                  <w:instrText xml:space="preserve"> PAGEREF _Toc133420552 \h </w:instrText>
                </w:r>
                <w:r w:rsidR="001324F3">
                  <w:rPr>
                    <w:noProof/>
                    <w:webHidden/>
                  </w:rPr>
                </w:r>
                <w:r w:rsidR="001324F3">
                  <w:rPr>
                    <w:noProof/>
                    <w:webHidden/>
                  </w:rPr>
                  <w:fldChar w:fldCharType="separate"/>
                </w:r>
                <w:r>
                  <w:rPr>
                    <w:noProof/>
                    <w:webHidden/>
                  </w:rPr>
                  <w:t>2</w:t>
                </w:r>
                <w:r w:rsidR="001324F3">
                  <w:rPr>
                    <w:noProof/>
                    <w:webHidden/>
                  </w:rPr>
                  <w:fldChar w:fldCharType="end"/>
                </w:r>
              </w:hyperlink>
            </w:p>
            <w:p w14:paraId="3C389AB4" w14:textId="6655DCD7" w:rsidR="001324F3" w:rsidRDefault="004446A8" w:rsidP="001324F3">
              <w:pPr>
                <w:pStyle w:val="TOC2"/>
                <w:tabs>
                  <w:tab w:val="right" w:leader="dot" w:pos="10163"/>
                </w:tabs>
                <w:spacing w:before="240" w:after="240"/>
                <w:rPr>
                  <w:rFonts w:asciiTheme="minorHAnsi" w:eastAsiaTheme="minorEastAsia" w:hAnsiTheme="minorHAnsi" w:cstheme="minorBidi"/>
                  <w:noProof/>
                  <w:color w:val="auto"/>
                  <w:sz w:val="22"/>
                  <w:lang w:val="en-AU" w:eastAsia="en-AU"/>
                </w:rPr>
              </w:pPr>
              <w:hyperlink w:anchor="_Toc133420553" w:history="1">
                <w:r w:rsidR="001324F3" w:rsidRPr="00224980">
                  <w:rPr>
                    <w:rStyle w:val="Hyperlink"/>
                    <w:noProof/>
                  </w:rPr>
                  <w:t>Interpreter assistance</w:t>
                </w:r>
                <w:r w:rsidR="001324F3">
                  <w:rPr>
                    <w:noProof/>
                    <w:webHidden/>
                  </w:rPr>
                  <w:tab/>
                </w:r>
                <w:r w:rsidR="001324F3">
                  <w:rPr>
                    <w:noProof/>
                    <w:webHidden/>
                  </w:rPr>
                  <w:fldChar w:fldCharType="begin"/>
                </w:r>
                <w:r w:rsidR="001324F3">
                  <w:rPr>
                    <w:noProof/>
                    <w:webHidden/>
                  </w:rPr>
                  <w:instrText xml:space="preserve"> PAGEREF _Toc133420553 \h </w:instrText>
                </w:r>
                <w:r w:rsidR="001324F3">
                  <w:rPr>
                    <w:noProof/>
                    <w:webHidden/>
                  </w:rPr>
                </w:r>
                <w:r w:rsidR="001324F3">
                  <w:rPr>
                    <w:noProof/>
                    <w:webHidden/>
                  </w:rPr>
                  <w:fldChar w:fldCharType="separate"/>
                </w:r>
                <w:r>
                  <w:rPr>
                    <w:noProof/>
                    <w:webHidden/>
                  </w:rPr>
                  <w:t>2</w:t>
                </w:r>
                <w:r w:rsidR="001324F3">
                  <w:rPr>
                    <w:noProof/>
                    <w:webHidden/>
                  </w:rPr>
                  <w:fldChar w:fldCharType="end"/>
                </w:r>
              </w:hyperlink>
            </w:p>
            <w:p w14:paraId="438F0427" w14:textId="15E6511F" w:rsidR="001324F3" w:rsidRDefault="001324F3" w:rsidP="001324F3">
              <w:pPr>
                <w:spacing w:before="240" w:after="240"/>
              </w:pPr>
              <w:r>
                <w:rPr>
                  <w:b/>
                  <w:bCs/>
                  <w:noProof/>
                </w:rPr>
                <w:fldChar w:fldCharType="end"/>
              </w:r>
            </w:p>
          </w:sdtContent>
        </w:sdt>
        <w:p w14:paraId="29AA7196" w14:textId="27F09172" w:rsidR="00D5480E" w:rsidRPr="00010FA6" w:rsidRDefault="004446A8" w:rsidP="007B3A31">
          <w:pPr>
            <w:pStyle w:val="TOC1"/>
            <w:tabs>
              <w:tab w:val="left" w:pos="993"/>
              <w:tab w:val="left" w:pos="9923"/>
              <w:tab w:val="left" w:leader="dot" w:pos="10360"/>
            </w:tabs>
            <w:spacing w:before="117" w:after="240"/>
            <w:ind w:left="0" w:firstLine="0"/>
            <w:rPr>
              <w:rFonts w:ascii="VIC" w:hAnsi="VIC"/>
            </w:rPr>
            <w:sectPr w:rsidR="00D5480E" w:rsidRPr="00010FA6" w:rsidSect="00742582">
              <w:headerReference w:type="even" r:id="rId16"/>
              <w:headerReference w:type="default" r:id="rId17"/>
              <w:footerReference w:type="default" r:id="rId18"/>
              <w:headerReference w:type="first" r:id="rId19"/>
              <w:pgSz w:w="11900" w:h="16840"/>
              <w:pgMar w:top="1040" w:right="740" w:bottom="1320" w:left="987" w:header="735" w:footer="854" w:gutter="0"/>
              <w:cols w:space="720"/>
            </w:sectPr>
          </w:pPr>
        </w:p>
      </w:sdtContent>
    </w:sdt>
    <w:p w14:paraId="524A144A" w14:textId="3B9B7E24" w:rsidR="00927E13" w:rsidRDefault="00041EE1" w:rsidP="001200DE">
      <w:pPr>
        <w:pStyle w:val="Heading1"/>
      </w:pPr>
      <w:bookmarkStart w:id="0" w:name="_Toc133420153"/>
      <w:bookmarkStart w:id="1" w:name="_Toc133420444"/>
      <w:bookmarkStart w:id="2" w:name="_Toc133420531"/>
      <w:r w:rsidRPr="00AC32CD">
        <w:lastRenderedPageBreak/>
        <w:t>Introduction</w:t>
      </w:r>
      <w:r w:rsidR="00D02D53" w:rsidRPr="00AC32CD">
        <w:t xml:space="preserve"> &amp; overview</w:t>
      </w:r>
      <w:bookmarkEnd w:id="0"/>
      <w:bookmarkEnd w:id="1"/>
      <w:bookmarkEnd w:id="2"/>
    </w:p>
    <w:p w14:paraId="57430A3C" w14:textId="186A6497" w:rsidR="00FC09A1" w:rsidRPr="00FC09A1" w:rsidRDefault="00FC09A1" w:rsidP="00FC09A1">
      <w:pPr>
        <w:pStyle w:val="Heading2"/>
      </w:pPr>
      <w:bookmarkStart w:id="3" w:name="_Toc133420154"/>
      <w:bookmarkStart w:id="4" w:name="_Toc133420445"/>
      <w:bookmarkStart w:id="5" w:name="_Toc133420532"/>
      <w:r>
        <w:t>1.1 Background</w:t>
      </w:r>
      <w:bookmarkEnd w:id="3"/>
      <w:bookmarkEnd w:id="4"/>
      <w:bookmarkEnd w:id="5"/>
    </w:p>
    <w:p w14:paraId="70793AE4" w14:textId="77777777" w:rsidR="00D02D53" w:rsidRPr="003E5508" w:rsidRDefault="00D02D53" w:rsidP="00D02D53">
      <w:pPr>
        <w:pStyle w:val="ListParagraph"/>
        <w:widowControl w:val="0"/>
        <w:tabs>
          <w:tab w:val="left" w:pos="722"/>
          <w:tab w:val="left" w:pos="723"/>
        </w:tabs>
        <w:autoSpaceDE w:val="0"/>
        <w:autoSpaceDN w:val="0"/>
        <w:spacing w:before="123" w:after="0"/>
        <w:ind w:left="0"/>
        <w:rPr>
          <w:rFonts w:eastAsia="VIC" w:cs="VIC"/>
          <w:sz w:val="24"/>
          <w:szCs w:val="26"/>
          <w:lang w:eastAsia="en-US"/>
        </w:rPr>
      </w:pPr>
      <w:bookmarkStart w:id="6" w:name="_bookmark1"/>
      <w:bookmarkStart w:id="7" w:name="_bookmark2"/>
      <w:bookmarkEnd w:id="6"/>
      <w:bookmarkEnd w:id="7"/>
    </w:p>
    <w:p w14:paraId="6DB2023F" w14:textId="7B61622A" w:rsidR="00D02D53" w:rsidRPr="003E5508" w:rsidRDefault="00D02D53" w:rsidP="00AC32CD">
      <w:pPr>
        <w:pStyle w:val="ListParagraph"/>
        <w:widowControl w:val="0"/>
        <w:tabs>
          <w:tab w:val="left" w:pos="722"/>
          <w:tab w:val="left" w:pos="723"/>
        </w:tabs>
        <w:autoSpaceDE w:val="0"/>
        <w:autoSpaceDN w:val="0"/>
        <w:spacing w:before="123" w:after="0"/>
        <w:ind w:left="0"/>
        <w:jc w:val="both"/>
        <w:rPr>
          <w:rFonts w:eastAsia="VIC" w:cs="VIC"/>
          <w:sz w:val="24"/>
          <w:szCs w:val="26"/>
          <w:lang w:eastAsia="en-US"/>
        </w:rPr>
      </w:pPr>
      <w:r w:rsidRPr="00D02D53">
        <w:rPr>
          <w:rFonts w:eastAsia="VIC" w:cs="VIC"/>
          <w:sz w:val="24"/>
          <w:szCs w:val="26"/>
          <w:lang w:eastAsia="en-US"/>
        </w:rPr>
        <w:t>In Victoria Australia, wild waterfowl are harvested during the annual duck-hunting season and are consumed by game hunters and the general population. The exact dates of the season can vary year-to-year, but the season typically runs from mid-March to mid-June. Given that ducks feed from both sediment and water, and eat animals (</w:t>
      </w:r>
      <w:proofErr w:type="gramStart"/>
      <w:r w:rsidRPr="00D02D53">
        <w:rPr>
          <w:rFonts w:eastAsia="VIC" w:cs="VIC"/>
          <w:sz w:val="24"/>
          <w:szCs w:val="26"/>
          <w:lang w:eastAsia="en-US"/>
        </w:rPr>
        <w:t>e.g.</w:t>
      </w:r>
      <w:proofErr w:type="gramEnd"/>
      <w:r w:rsidRPr="00D02D53">
        <w:rPr>
          <w:rFonts w:eastAsia="VIC" w:cs="VIC"/>
          <w:sz w:val="24"/>
          <w:szCs w:val="26"/>
          <w:lang w:eastAsia="en-US"/>
        </w:rPr>
        <w:t xml:space="preserve"> crustacea, insects, water snails, other molluscs) that are known to bioaccumulate natural and anthropogenically sourced trace elements, there is a possibility that wild duck meat or edible offal might be contaminated. </w:t>
      </w:r>
    </w:p>
    <w:p w14:paraId="58FDDCD0" w14:textId="44A1C57B" w:rsidR="00D02D53" w:rsidRDefault="00D02D53" w:rsidP="00D02D53">
      <w:pPr>
        <w:pStyle w:val="ListParagraph"/>
        <w:widowControl w:val="0"/>
        <w:tabs>
          <w:tab w:val="left" w:pos="722"/>
          <w:tab w:val="left" w:pos="723"/>
        </w:tabs>
        <w:autoSpaceDE w:val="0"/>
        <w:autoSpaceDN w:val="0"/>
        <w:spacing w:before="123" w:after="0"/>
        <w:ind w:left="0"/>
        <w:rPr>
          <w:rFonts w:eastAsia="VIC" w:cs="VIC"/>
          <w:sz w:val="24"/>
          <w:szCs w:val="26"/>
          <w:lang w:eastAsia="en-US"/>
        </w:rPr>
      </w:pPr>
    </w:p>
    <w:p w14:paraId="0D21DB40" w14:textId="0997C169" w:rsidR="00FC09A1" w:rsidRPr="00FC09A1" w:rsidRDefault="00FC09A1" w:rsidP="00FC09A1">
      <w:pPr>
        <w:pStyle w:val="Heading2"/>
      </w:pPr>
      <w:bookmarkStart w:id="8" w:name="_Toc133420155"/>
      <w:bookmarkStart w:id="9" w:name="_Toc133420446"/>
      <w:bookmarkStart w:id="10" w:name="_Toc133420533"/>
      <w:r w:rsidRPr="00FC09A1">
        <w:t>1.2 Overview</w:t>
      </w:r>
      <w:bookmarkEnd w:id="8"/>
      <w:bookmarkEnd w:id="9"/>
      <w:bookmarkEnd w:id="10"/>
    </w:p>
    <w:p w14:paraId="48A4E946" w14:textId="6C4DAD04" w:rsidR="00D02D53" w:rsidRPr="00D02D53" w:rsidRDefault="00D02D53" w:rsidP="003F2289">
      <w:pPr>
        <w:pStyle w:val="BodyText"/>
        <w:spacing w:before="119"/>
        <w:ind w:right="346"/>
        <w:jc w:val="both"/>
        <w:rPr>
          <w:sz w:val="24"/>
          <w:szCs w:val="26"/>
          <w:lang w:val="en-AU"/>
        </w:rPr>
      </w:pPr>
      <w:r w:rsidRPr="00D02D53">
        <w:rPr>
          <w:sz w:val="24"/>
          <w:szCs w:val="26"/>
          <w:lang w:val="en-AU"/>
        </w:rPr>
        <w:t xml:space="preserve">EPA Victoria undertook sampling of wildfowl in May and June 2018 comprising 166 ducks from 19 waterbody sites (Figure 1). Edible parts (breast meat and liver) of ducks were separated for chemical analysis. Across the four waterfowl species targeted, the aim was to collect up to 6 individuals per species, per site. Actual sample numbers collected </w:t>
      </w:r>
      <w:proofErr w:type="gramStart"/>
      <w:r w:rsidRPr="00D02D53">
        <w:rPr>
          <w:sz w:val="24"/>
          <w:szCs w:val="26"/>
          <w:lang w:val="en-AU"/>
        </w:rPr>
        <w:t>were:</w:t>
      </w:r>
      <w:proofErr w:type="gramEnd"/>
      <w:r w:rsidRPr="00D02D53">
        <w:rPr>
          <w:sz w:val="24"/>
          <w:szCs w:val="26"/>
          <w:lang w:val="en-AU"/>
        </w:rPr>
        <w:t xml:space="preserve"> </w:t>
      </w:r>
      <w:r w:rsidR="009F3D3F">
        <w:rPr>
          <w:sz w:val="24"/>
          <w:szCs w:val="26"/>
          <w:lang w:val="en-AU"/>
        </w:rPr>
        <w:t>c</w:t>
      </w:r>
      <w:r w:rsidRPr="00D02D53">
        <w:rPr>
          <w:sz w:val="24"/>
          <w:szCs w:val="26"/>
          <w:lang w:val="en-AU"/>
        </w:rPr>
        <w:t xml:space="preserve">hestnut </w:t>
      </w:r>
      <w:r w:rsidR="009F3D3F">
        <w:rPr>
          <w:sz w:val="24"/>
          <w:szCs w:val="26"/>
          <w:lang w:val="en-AU"/>
        </w:rPr>
        <w:t>t</w:t>
      </w:r>
      <w:r w:rsidRPr="00D02D53">
        <w:rPr>
          <w:sz w:val="24"/>
          <w:szCs w:val="26"/>
          <w:lang w:val="en-AU"/>
        </w:rPr>
        <w:t xml:space="preserve">eal (n = 42), </w:t>
      </w:r>
      <w:r w:rsidR="009F3D3F">
        <w:rPr>
          <w:sz w:val="24"/>
          <w:szCs w:val="26"/>
          <w:lang w:val="en-AU"/>
        </w:rPr>
        <w:t>g</w:t>
      </w:r>
      <w:r w:rsidRPr="00D02D53">
        <w:rPr>
          <w:sz w:val="24"/>
          <w:szCs w:val="26"/>
          <w:lang w:val="en-AU"/>
        </w:rPr>
        <w:t xml:space="preserve">rey </w:t>
      </w:r>
      <w:r w:rsidR="009F3D3F">
        <w:rPr>
          <w:sz w:val="24"/>
          <w:szCs w:val="26"/>
          <w:lang w:val="en-AU"/>
        </w:rPr>
        <w:t>t</w:t>
      </w:r>
      <w:r w:rsidRPr="00D02D53">
        <w:rPr>
          <w:sz w:val="24"/>
          <w:szCs w:val="26"/>
          <w:lang w:val="en-AU"/>
        </w:rPr>
        <w:t xml:space="preserve">eal (n = 57), </w:t>
      </w:r>
      <w:r w:rsidR="009F3D3F">
        <w:rPr>
          <w:sz w:val="24"/>
          <w:szCs w:val="26"/>
          <w:lang w:val="en-AU"/>
        </w:rPr>
        <w:t>p</w:t>
      </w:r>
      <w:r w:rsidRPr="00D02D53">
        <w:rPr>
          <w:sz w:val="24"/>
          <w:szCs w:val="26"/>
          <w:lang w:val="en-AU"/>
        </w:rPr>
        <w:t xml:space="preserve">acific </w:t>
      </w:r>
      <w:r w:rsidR="009F3D3F">
        <w:rPr>
          <w:sz w:val="24"/>
          <w:szCs w:val="26"/>
          <w:lang w:val="en-AU"/>
        </w:rPr>
        <w:t>b</w:t>
      </w:r>
      <w:r w:rsidRPr="00D02D53">
        <w:rPr>
          <w:sz w:val="24"/>
          <w:szCs w:val="26"/>
          <w:lang w:val="en-AU"/>
        </w:rPr>
        <w:t xml:space="preserve">lack </w:t>
      </w:r>
      <w:r w:rsidR="009F3D3F">
        <w:rPr>
          <w:sz w:val="24"/>
          <w:szCs w:val="26"/>
          <w:lang w:val="en-AU"/>
        </w:rPr>
        <w:t>d</w:t>
      </w:r>
      <w:r w:rsidRPr="00D02D53">
        <w:rPr>
          <w:sz w:val="24"/>
          <w:szCs w:val="26"/>
          <w:lang w:val="en-AU"/>
        </w:rPr>
        <w:t xml:space="preserve">uck (n = 51) and </w:t>
      </w:r>
      <w:r w:rsidR="009F3D3F">
        <w:rPr>
          <w:sz w:val="24"/>
          <w:szCs w:val="26"/>
          <w:lang w:val="en-AU"/>
        </w:rPr>
        <w:t>p</w:t>
      </w:r>
      <w:r w:rsidRPr="00D02D53">
        <w:rPr>
          <w:sz w:val="24"/>
          <w:szCs w:val="26"/>
          <w:lang w:val="en-AU"/>
        </w:rPr>
        <w:t xml:space="preserve">ink-eared </w:t>
      </w:r>
      <w:r w:rsidR="009F3D3F">
        <w:rPr>
          <w:sz w:val="24"/>
          <w:szCs w:val="26"/>
          <w:lang w:val="en-AU"/>
        </w:rPr>
        <w:t>d</w:t>
      </w:r>
      <w:r w:rsidRPr="00D02D53">
        <w:rPr>
          <w:sz w:val="24"/>
          <w:szCs w:val="26"/>
          <w:lang w:val="en-AU"/>
        </w:rPr>
        <w:t>uck (n = 15). Numbers varied across 0-6 individuals per site. Where more than one individual of a species was obtained at a site, samples were combined to achieve a single homogenised sample per species and site. These samples were then analysed for per- and polyfluoroalkyl substances (PFAS) and trace elements. The PFAS results were reported previously in March 2019 (</w:t>
      </w:r>
      <w:hyperlink r:id="rId20" w:history="1">
        <w:r w:rsidRPr="00D02D53">
          <w:rPr>
            <w:rStyle w:val="Hyperlink"/>
            <w:rFonts w:ascii="VIC" w:hAnsi="VIC"/>
            <w:sz w:val="24"/>
            <w:szCs w:val="26"/>
            <w:lang w:val="en-AU"/>
          </w:rPr>
          <w:t>EPA Report 1734)</w:t>
        </w:r>
      </w:hyperlink>
      <w:r w:rsidRPr="00D02D53">
        <w:rPr>
          <w:sz w:val="24"/>
          <w:szCs w:val="26"/>
          <w:lang w:val="en-AU"/>
        </w:rPr>
        <w:t>. This report focuses only on the trace element analyses of the same samples.</w:t>
      </w:r>
    </w:p>
    <w:p w14:paraId="56384B13" w14:textId="7DC68F85" w:rsidR="00D02D53" w:rsidRDefault="00D02D53" w:rsidP="001200DE">
      <w:pPr>
        <w:pStyle w:val="BodyText"/>
        <w:spacing w:before="119"/>
        <w:ind w:right="346"/>
        <w:jc w:val="both"/>
        <w:rPr>
          <w:sz w:val="24"/>
          <w:szCs w:val="26"/>
        </w:rPr>
      </w:pPr>
    </w:p>
    <w:p w14:paraId="457CD3CF" w14:textId="018493B0" w:rsidR="00FC09A1" w:rsidRPr="00FC09A1" w:rsidRDefault="00FC09A1" w:rsidP="00FC09A1">
      <w:pPr>
        <w:pStyle w:val="Heading2"/>
      </w:pPr>
      <w:bookmarkStart w:id="11" w:name="_Toc133420156"/>
      <w:bookmarkStart w:id="12" w:name="_Toc133420447"/>
      <w:bookmarkStart w:id="13" w:name="_Toc133420534"/>
      <w:r w:rsidRPr="00FC09A1">
        <w:t>1.3 Aim</w:t>
      </w:r>
      <w:bookmarkEnd w:id="11"/>
      <w:bookmarkEnd w:id="12"/>
      <w:bookmarkEnd w:id="13"/>
    </w:p>
    <w:p w14:paraId="637BCA13" w14:textId="552A3F06" w:rsidR="00927E13" w:rsidRPr="003E5508" w:rsidRDefault="003E5508" w:rsidP="00AC32CD">
      <w:pPr>
        <w:pStyle w:val="BodyText"/>
        <w:spacing w:before="120"/>
        <w:ind w:right="-33"/>
        <w:jc w:val="both"/>
        <w:rPr>
          <w:sz w:val="24"/>
          <w:szCs w:val="26"/>
          <w:lang w:val="en-AU"/>
        </w:rPr>
      </w:pPr>
      <w:bookmarkStart w:id="14" w:name="_bookmark3"/>
      <w:bookmarkEnd w:id="14"/>
      <w:r w:rsidRPr="003E5508">
        <w:rPr>
          <w:sz w:val="24"/>
          <w:szCs w:val="26"/>
          <w:lang w:val="en-AU"/>
        </w:rPr>
        <w:t>The object of this report is to summarise EPA’s assessment of trace element concentrations in edible portions of wild duck and to evaluate if there</w:t>
      </w:r>
      <w:r w:rsidR="00B63689">
        <w:rPr>
          <w:sz w:val="24"/>
          <w:szCs w:val="26"/>
          <w:lang w:val="en-AU"/>
        </w:rPr>
        <w:t xml:space="preserve"> is</w:t>
      </w:r>
      <w:r w:rsidRPr="003E5508">
        <w:rPr>
          <w:sz w:val="24"/>
          <w:szCs w:val="26"/>
          <w:lang w:val="en-AU"/>
        </w:rPr>
        <w:t xml:space="preserve"> a human health risk from consumption.</w:t>
      </w:r>
    </w:p>
    <w:p w14:paraId="1DB21AED" w14:textId="77777777" w:rsidR="003E5508" w:rsidRPr="003E5508" w:rsidRDefault="003E5508" w:rsidP="003E5508">
      <w:pPr>
        <w:pStyle w:val="BodyText"/>
        <w:spacing w:before="120"/>
        <w:ind w:right="-33"/>
        <w:rPr>
          <w:sz w:val="24"/>
          <w:szCs w:val="26"/>
        </w:rPr>
      </w:pPr>
    </w:p>
    <w:p w14:paraId="0AFB1989" w14:textId="15A81C5E" w:rsidR="007129B9" w:rsidRPr="00FC09A1" w:rsidRDefault="00FC09A1" w:rsidP="00FC09A1">
      <w:pPr>
        <w:pStyle w:val="Heading2"/>
      </w:pPr>
      <w:bookmarkStart w:id="15" w:name="_Toc133420157"/>
      <w:bookmarkStart w:id="16" w:name="_Toc133420448"/>
      <w:bookmarkStart w:id="17" w:name="_Toc133420535"/>
      <w:r w:rsidRPr="00FC09A1">
        <w:t>1.4. What is the temporal and spatial scope of this study?</w:t>
      </w:r>
      <w:bookmarkEnd w:id="15"/>
      <w:bookmarkEnd w:id="16"/>
      <w:bookmarkEnd w:id="17"/>
    </w:p>
    <w:p w14:paraId="6D54FCBD" w14:textId="77777777" w:rsidR="00FC09A1" w:rsidRPr="003E5508" w:rsidRDefault="00FC09A1" w:rsidP="00AC32CD">
      <w:pPr>
        <w:pStyle w:val="ListParagraph"/>
        <w:widowControl w:val="0"/>
        <w:tabs>
          <w:tab w:val="left" w:pos="722"/>
          <w:tab w:val="left" w:pos="723"/>
        </w:tabs>
        <w:autoSpaceDE w:val="0"/>
        <w:autoSpaceDN w:val="0"/>
        <w:spacing w:before="123" w:after="0"/>
        <w:ind w:left="0"/>
        <w:contextualSpacing w:val="0"/>
        <w:jc w:val="both"/>
        <w:rPr>
          <w:rFonts w:ascii="VIC-Medium"/>
          <w:sz w:val="24"/>
          <w:szCs w:val="22"/>
        </w:rPr>
      </w:pPr>
    </w:p>
    <w:p w14:paraId="0E8E9778" w14:textId="194749E1" w:rsidR="003E5508" w:rsidRPr="003E5508" w:rsidRDefault="003E5508" w:rsidP="00AC32CD">
      <w:pPr>
        <w:pStyle w:val="BodyText"/>
        <w:jc w:val="both"/>
        <w:rPr>
          <w:sz w:val="24"/>
          <w:szCs w:val="26"/>
        </w:rPr>
      </w:pPr>
      <w:r w:rsidRPr="003E5508">
        <w:rPr>
          <w:sz w:val="24"/>
          <w:szCs w:val="26"/>
        </w:rPr>
        <w:t>The study data is a ‘snapshot study’ conducted over a relatively brief sampling window in 2018. Although constrained in time, the study was geographically expansive (Figure 1). Sites were chosen to capture a range of popular recreational hunting locations in wetlands, rivers and lakes from across Victoria.</w:t>
      </w:r>
    </w:p>
    <w:p w14:paraId="7F89532E" w14:textId="77777777" w:rsidR="0068538E" w:rsidRDefault="0068538E" w:rsidP="003E5508">
      <w:pPr>
        <w:pStyle w:val="BodyText"/>
        <w:rPr>
          <w:sz w:val="24"/>
          <w:szCs w:val="26"/>
        </w:rPr>
      </w:pPr>
    </w:p>
    <w:p w14:paraId="57F61AC5" w14:textId="62A633C6" w:rsidR="0068538E" w:rsidRDefault="0068538E" w:rsidP="003E5508">
      <w:pPr>
        <w:pStyle w:val="BodyText"/>
        <w:rPr>
          <w:sz w:val="24"/>
          <w:szCs w:val="26"/>
        </w:rPr>
      </w:pPr>
      <w:r w:rsidRPr="00BC0A19">
        <w:rPr>
          <w:rFonts w:ascii="ArialMT" w:hAnsi="ArialMT"/>
          <w:b/>
          <w:bCs/>
          <w:noProof/>
          <w:color w:val="002060"/>
          <w:szCs w:val="20"/>
        </w:rPr>
        <w:lastRenderedPageBreak/>
        <w:drawing>
          <wp:inline distT="0" distB="0" distL="0" distR="0" wp14:anchorId="1D1D0D39" wp14:editId="3016EA9E">
            <wp:extent cx="6459855" cy="3942715"/>
            <wp:effectExtent l="0" t="0" r="0" b="635"/>
            <wp:docPr id="1" name="Picture 1" descr="Map&#10;&#10;Description automatically generated">
              <a:extLst xmlns:a="http://schemas.openxmlformats.org/drawingml/2006/main">
                <a:ext uri="{FF2B5EF4-FFF2-40B4-BE49-F238E27FC236}">
                  <a16:creationId xmlns:a16="http://schemas.microsoft.com/office/drawing/2014/main" id="{47062CEF-7153-098F-8778-C048D0553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a:extLst>
                        <a:ext uri="{FF2B5EF4-FFF2-40B4-BE49-F238E27FC236}">
                          <a16:creationId xmlns:a16="http://schemas.microsoft.com/office/drawing/2014/main" id="{47062CEF-7153-098F-8778-C048D0553BC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59855" cy="3942715"/>
                    </a:xfrm>
                    <a:prstGeom prst="rect">
                      <a:avLst/>
                    </a:prstGeom>
                  </pic:spPr>
                </pic:pic>
              </a:graphicData>
            </a:graphic>
          </wp:inline>
        </w:drawing>
      </w:r>
    </w:p>
    <w:p w14:paraId="5EE9FB4D" w14:textId="7A336EDC" w:rsidR="003E5508" w:rsidRDefault="003E5508" w:rsidP="003E5508">
      <w:pPr>
        <w:pStyle w:val="BodyText"/>
        <w:rPr>
          <w:sz w:val="24"/>
          <w:szCs w:val="26"/>
        </w:rPr>
      </w:pPr>
    </w:p>
    <w:p w14:paraId="2230E85B" w14:textId="5E239664" w:rsidR="0068538E" w:rsidRDefault="0068538E" w:rsidP="003E5508">
      <w:pPr>
        <w:pStyle w:val="BodyText"/>
        <w:rPr>
          <w:sz w:val="24"/>
          <w:szCs w:val="26"/>
        </w:rPr>
      </w:pPr>
    </w:p>
    <w:p w14:paraId="3ED7196F" w14:textId="77777777" w:rsidR="0068538E" w:rsidRPr="004D18E0" w:rsidRDefault="0068538E" w:rsidP="0068538E">
      <w:pPr>
        <w:rPr>
          <w:rFonts w:ascii="Arial" w:hAnsi="Arial"/>
        </w:rPr>
      </w:pPr>
      <w:r w:rsidRPr="004D18E0">
        <w:rPr>
          <w:rFonts w:ascii="Arial" w:hAnsi="Arial"/>
          <w:b/>
          <w:bCs/>
        </w:rPr>
        <w:t>Figure 1.</w:t>
      </w:r>
      <w:r w:rsidRPr="004D18E0">
        <w:rPr>
          <w:rFonts w:ascii="Arial" w:hAnsi="Arial"/>
        </w:rPr>
        <w:t xml:space="preserve"> Wetland sampling sites where waterfowl and environmental samples were collected across Victoria during May to June 2018.</w:t>
      </w:r>
    </w:p>
    <w:p w14:paraId="1F5DD762" w14:textId="77777777" w:rsidR="0068538E" w:rsidRPr="003E5508" w:rsidRDefault="0068538E" w:rsidP="0068538E">
      <w:pPr>
        <w:pStyle w:val="BodyText"/>
        <w:rPr>
          <w:sz w:val="24"/>
          <w:szCs w:val="26"/>
        </w:rPr>
      </w:pPr>
    </w:p>
    <w:p w14:paraId="6E1C8438" w14:textId="77777777" w:rsidR="0068538E" w:rsidRPr="003E5508" w:rsidRDefault="0068538E" w:rsidP="0068538E">
      <w:pPr>
        <w:pStyle w:val="BodyText"/>
        <w:numPr>
          <w:ilvl w:val="0"/>
          <w:numId w:val="16"/>
        </w:numPr>
        <w:rPr>
          <w:sz w:val="24"/>
          <w:szCs w:val="26"/>
        </w:rPr>
      </w:pPr>
      <w:r w:rsidRPr="003E5508">
        <w:rPr>
          <w:sz w:val="24"/>
          <w:szCs w:val="26"/>
        </w:rPr>
        <w:t>Aire River</w:t>
      </w:r>
    </w:p>
    <w:p w14:paraId="57094C55" w14:textId="77777777" w:rsidR="0068538E" w:rsidRPr="003E5508" w:rsidRDefault="0068538E" w:rsidP="0068538E">
      <w:pPr>
        <w:pStyle w:val="BodyText"/>
        <w:numPr>
          <w:ilvl w:val="0"/>
          <w:numId w:val="16"/>
        </w:numPr>
        <w:rPr>
          <w:sz w:val="24"/>
          <w:szCs w:val="26"/>
        </w:rPr>
      </w:pPr>
      <w:r w:rsidRPr="003E5508">
        <w:rPr>
          <w:sz w:val="24"/>
          <w:szCs w:val="26"/>
        </w:rPr>
        <w:t>Green Lake</w:t>
      </w:r>
    </w:p>
    <w:p w14:paraId="1AC2399D" w14:textId="77777777" w:rsidR="0068538E" w:rsidRPr="003E5508" w:rsidRDefault="0068538E" w:rsidP="0068538E">
      <w:pPr>
        <w:pStyle w:val="BodyText"/>
        <w:numPr>
          <w:ilvl w:val="0"/>
          <w:numId w:val="16"/>
        </w:numPr>
        <w:rPr>
          <w:sz w:val="24"/>
          <w:szCs w:val="26"/>
        </w:rPr>
      </w:pPr>
      <w:r w:rsidRPr="003E5508">
        <w:rPr>
          <w:sz w:val="24"/>
          <w:szCs w:val="26"/>
        </w:rPr>
        <w:t>Heart and Dowd Morasses</w:t>
      </w:r>
    </w:p>
    <w:p w14:paraId="2829029F" w14:textId="77777777" w:rsidR="0068538E" w:rsidRPr="003E5508" w:rsidRDefault="0068538E" w:rsidP="0068538E">
      <w:pPr>
        <w:pStyle w:val="BodyText"/>
        <w:numPr>
          <w:ilvl w:val="0"/>
          <w:numId w:val="16"/>
        </w:numPr>
        <w:rPr>
          <w:sz w:val="24"/>
          <w:szCs w:val="26"/>
        </w:rPr>
      </w:pPr>
      <w:r w:rsidRPr="003E5508">
        <w:rPr>
          <w:sz w:val="24"/>
          <w:szCs w:val="26"/>
        </w:rPr>
        <w:t>Hospital Swamp</w:t>
      </w:r>
    </w:p>
    <w:p w14:paraId="48564549" w14:textId="77777777" w:rsidR="0068538E" w:rsidRPr="003E5508" w:rsidRDefault="0068538E" w:rsidP="0068538E">
      <w:pPr>
        <w:pStyle w:val="BodyText"/>
        <w:numPr>
          <w:ilvl w:val="0"/>
          <w:numId w:val="16"/>
        </w:numPr>
        <w:rPr>
          <w:sz w:val="24"/>
          <w:szCs w:val="26"/>
        </w:rPr>
      </w:pPr>
      <w:r w:rsidRPr="003E5508">
        <w:rPr>
          <w:sz w:val="24"/>
          <w:szCs w:val="26"/>
        </w:rPr>
        <w:t>Jones Bay</w:t>
      </w:r>
    </w:p>
    <w:p w14:paraId="30ACCBDA" w14:textId="77777777" w:rsidR="0068538E" w:rsidRPr="003E5508" w:rsidRDefault="0068538E" w:rsidP="0068538E">
      <w:pPr>
        <w:pStyle w:val="BodyText"/>
        <w:numPr>
          <w:ilvl w:val="0"/>
          <w:numId w:val="16"/>
        </w:numPr>
        <w:rPr>
          <w:sz w:val="24"/>
          <w:szCs w:val="26"/>
        </w:rPr>
      </w:pPr>
      <w:r w:rsidRPr="003E5508">
        <w:rPr>
          <w:sz w:val="24"/>
          <w:szCs w:val="26"/>
        </w:rPr>
        <w:t>Junction of Goulburn and Rubicon Rivers</w:t>
      </w:r>
    </w:p>
    <w:p w14:paraId="701524DD" w14:textId="77777777" w:rsidR="0068538E" w:rsidRPr="003E5508" w:rsidRDefault="0068538E" w:rsidP="0068538E">
      <w:pPr>
        <w:pStyle w:val="BodyText"/>
        <w:numPr>
          <w:ilvl w:val="0"/>
          <w:numId w:val="16"/>
        </w:numPr>
        <w:rPr>
          <w:sz w:val="24"/>
          <w:szCs w:val="26"/>
        </w:rPr>
      </w:pPr>
      <w:r w:rsidRPr="003E5508">
        <w:rPr>
          <w:sz w:val="24"/>
          <w:szCs w:val="26"/>
        </w:rPr>
        <w:t xml:space="preserve">Lake </w:t>
      </w:r>
      <w:proofErr w:type="spellStart"/>
      <w:r w:rsidRPr="003E5508">
        <w:rPr>
          <w:sz w:val="24"/>
          <w:szCs w:val="26"/>
        </w:rPr>
        <w:t>Bolac</w:t>
      </w:r>
      <w:proofErr w:type="spellEnd"/>
    </w:p>
    <w:p w14:paraId="763414BD" w14:textId="77777777" w:rsidR="0068538E" w:rsidRPr="003E5508" w:rsidRDefault="0068538E" w:rsidP="0068538E">
      <w:pPr>
        <w:pStyle w:val="BodyText"/>
        <w:numPr>
          <w:ilvl w:val="0"/>
          <w:numId w:val="16"/>
        </w:numPr>
        <w:rPr>
          <w:sz w:val="24"/>
          <w:szCs w:val="26"/>
        </w:rPr>
      </w:pPr>
      <w:r w:rsidRPr="003E5508">
        <w:rPr>
          <w:sz w:val="24"/>
          <w:szCs w:val="26"/>
        </w:rPr>
        <w:t>Lake Cullen</w:t>
      </w:r>
    </w:p>
    <w:p w14:paraId="470C8A93" w14:textId="77777777" w:rsidR="0068538E" w:rsidRPr="003E5508" w:rsidRDefault="0068538E" w:rsidP="0068538E">
      <w:pPr>
        <w:pStyle w:val="BodyText"/>
        <w:numPr>
          <w:ilvl w:val="0"/>
          <w:numId w:val="16"/>
        </w:numPr>
        <w:rPr>
          <w:sz w:val="24"/>
          <w:szCs w:val="26"/>
        </w:rPr>
      </w:pPr>
      <w:r w:rsidRPr="003E5508">
        <w:rPr>
          <w:sz w:val="24"/>
          <w:szCs w:val="26"/>
        </w:rPr>
        <w:t xml:space="preserve">Lake </w:t>
      </w:r>
      <w:proofErr w:type="spellStart"/>
      <w:r w:rsidRPr="003E5508">
        <w:rPr>
          <w:sz w:val="24"/>
          <w:szCs w:val="26"/>
        </w:rPr>
        <w:t>Curlip</w:t>
      </w:r>
      <w:proofErr w:type="spellEnd"/>
    </w:p>
    <w:p w14:paraId="472D033E" w14:textId="77777777" w:rsidR="0068538E" w:rsidRPr="003E5508" w:rsidRDefault="0068538E" w:rsidP="0068538E">
      <w:pPr>
        <w:pStyle w:val="BodyText"/>
        <w:numPr>
          <w:ilvl w:val="0"/>
          <w:numId w:val="16"/>
        </w:numPr>
        <w:rPr>
          <w:sz w:val="24"/>
          <w:szCs w:val="26"/>
        </w:rPr>
      </w:pPr>
      <w:r w:rsidRPr="003E5508">
        <w:rPr>
          <w:sz w:val="24"/>
          <w:szCs w:val="26"/>
        </w:rPr>
        <w:t>Lake Kennedy</w:t>
      </w:r>
    </w:p>
    <w:p w14:paraId="24E23332" w14:textId="77777777" w:rsidR="0068538E" w:rsidRPr="003E5508" w:rsidRDefault="0068538E" w:rsidP="0068538E">
      <w:pPr>
        <w:pStyle w:val="BodyText"/>
        <w:numPr>
          <w:ilvl w:val="0"/>
          <w:numId w:val="16"/>
        </w:numPr>
        <w:rPr>
          <w:sz w:val="24"/>
          <w:szCs w:val="26"/>
        </w:rPr>
      </w:pPr>
      <w:r w:rsidRPr="003E5508">
        <w:rPr>
          <w:sz w:val="24"/>
          <w:szCs w:val="26"/>
        </w:rPr>
        <w:t xml:space="preserve">Lake Wat </w:t>
      </w:r>
      <w:proofErr w:type="spellStart"/>
      <w:r w:rsidRPr="003E5508">
        <w:rPr>
          <w:sz w:val="24"/>
          <w:szCs w:val="26"/>
        </w:rPr>
        <w:t>Wat</w:t>
      </w:r>
      <w:proofErr w:type="spellEnd"/>
    </w:p>
    <w:p w14:paraId="14D2DE8E" w14:textId="77777777" w:rsidR="0068538E" w:rsidRPr="003E5508" w:rsidRDefault="0068538E" w:rsidP="0068538E">
      <w:pPr>
        <w:pStyle w:val="BodyText"/>
        <w:numPr>
          <w:ilvl w:val="0"/>
          <w:numId w:val="16"/>
        </w:numPr>
        <w:rPr>
          <w:sz w:val="24"/>
          <w:szCs w:val="26"/>
        </w:rPr>
      </w:pPr>
      <w:r w:rsidRPr="003E5508">
        <w:rPr>
          <w:sz w:val="24"/>
          <w:szCs w:val="26"/>
        </w:rPr>
        <w:t>Lake Wellington</w:t>
      </w:r>
    </w:p>
    <w:p w14:paraId="78B0BBCF" w14:textId="77777777" w:rsidR="0068538E" w:rsidRPr="003E5508" w:rsidRDefault="0068538E" w:rsidP="0068538E">
      <w:pPr>
        <w:pStyle w:val="BodyText"/>
        <w:numPr>
          <w:ilvl w:val="0"/>
          <w:numId w:val="16"/>
        </w:numPr>
        <w:rPr>
          <w:sz w:val="24"/>
          <w:szCs w:val="26"/>
        </w:rPr>
      </w:pPr>
      <w:r w:rsidRPr="003E5508">
        <w:rPr>
          <w:sz w:val="24"/>
          <w:szCs w:val="26"/>
        </w:rPr>
        <w:t>Loddon River (</w:t>
      </w:r>
      <w:proofErr w:type="spellStart"/>
      <w:r w:rsidRPr="003E5508">
        <w:rPr>
          <w:sz w:val="24"/>
          <w:szCs w:val="26"/>
        </w:rPr>
        <w:t>Jarklin</w:t>
      </w:r>
      <w:proofErr w:type="spellEnd"/>
      <w:r w:rsidRPr="003E5508">
        <w:rPr>
          <w:sz w:val="24"/>
          <w:szCs w:val="26"/>
        </w:rPr>
        <w:t>)</w:t>
      </w:r>
    </w:p>
    <w:p w14:paraId="2F21E651" w14:textId="77777777" w:rsidR="0068538E" w:rsidRPr="003E5508" w:rsidRDefault="0068538E" w:rsidP="0068538E">
      <w:pPr>
        <w:pStyle w:val="BodyText"/>
        <w:numPr>
          <w:ilvl w:val="0"/>
          <w:numId w:val="16"/>
        </w:numPr>
        <w:rPr>
          <w:sz w:val="24"/>
          <w:szCs w:val="26"/>
        </w:rPr>
      </w:pPr>
      <w:r w:rsidRPr="003E5508">
        <w:rPr>
          <w:sz w:val="24"/>
          <w:szCs w:val="26"/>
        </w:rPr>
        <w:t>Macleod Morass</w:t>
      </w:r>
    </w:p>
    <w:p w14:paraId="428D7D7A" w14:textId="77777777" w:rsidR="0068538E" w:rsidRPr="003E5508" w:rsidRDefault="0068538E" w:rsidP="0068538E">
      <w:pPr>
        <w:pStyle w:val="BodyText"/>
        <w:numPr>
          <w:ilvl w:val="0"/>
          <w:numId w:val="16"/>
        </w:numPr>
        <w:rPr>
          <w:sz w:val="24"/>
          <w:szCs w:val="26"/>
        </w:rPr>
      </w:pPr>
      <w:proofErr w:type="spellStart"/>
      <w:r w:rsidRPr="003E5508">
        <w:rPr>
          <w:sz w:val="24"/>
          <w:szCs w:val="26"/>
        </w:rPr>
        <w:t>Nagambie</w:t>
      </w:r>
      <w:proofErr w:type="spellEnd"/>
    </w:p>
    <w:p w14:paraId="4913992C" w14:textId="77777777" w:rsidR="0068538E" w:rsidRPr="003E5508" w:rsidRDefault="0068538E" w:rsidP="0068538E">
      <w:pPr>
        <w:pStyle w:val="BodyText"/>
        <w:numPr>
          <w:ilvl w:val="0"/>
          <w:numId w:val="16"/>
        </w:numPr>
        <w:rPr>
          <w:sz w:val="24"/>
          <w:szCs w:val="26"/>
        </w:rPr>
      </w:pPr>
      <w:r w:rsidRPr="003E5508">
        <w:rPr>
          <w:sz w:val="24"/>
          <w:szCs w:val="26"/>
        </w:rPr>
        <w:t>Newlands Lake</w:t>
      </w:r>
    </w:p>
    <w:p w14:paraId="0FE7FD63" w14:textId="77777777" w:rsidR="0068538E" w:rsidRPr="003E5508" w:rsidRDefault="0068538E" w:rsidP="0068538E">
      <w:pPr>
        <w:pStyle w:val="BodyText"/>
        <w:numPr>
          <w:ilvl w:val="0"/>
          <w:numId w:val="16"/>
        </w:numPr>
        <w:rPr>
          <w:sz w:val="24"/>
          <w:szCs w:val="26"/>
        </w:rPr>
      </w:pPr>
      <w:r w:rsidRPr="003E5508">
        <w:rPr>
          <w:sz w:val="24"/>
          <w:szCs w:val="26"/>
        </w:rPr>
        <w:lastRenderedPageBreak/>
        <w:t>Reedy Lake</w:t>
      </w:r>
    </w:p>
    <w:p w14:paraId="51F06E9E" w14:textId="77777777" w:rsidR="0068538E" w:rsidRPr="004D18E0" w:rsidRDefault="0068538E" w:rsidP="0068538E">
      <w:pPr>
        <w:pStyle w:val="BodyText"/>
        <w:numPr>
          <w:ilvl w:val="0"/>
          <w:numId w:val="16"/>
        </w:numPr>
        <w:rPr>
          <w:sz w:val="24"/>
          <w:szCs w:val="26"/>
        </w:rPr>
      </w:pPr>
      <w:r w:rsidRPr="003E5508">
        <w:rPr>
          <w:sz w:val="24"/>
          <w:szCs w:val="26"/>
        </w:rPr>
        <w:t>Richardson’s Lagoon</w:t>
      </w:r>
    </w:p>
    <w:p w14:paraId="0FD09152" w14:textId="77777777" w:rsidR="0068538E" w:rsidRPr="004D18E0" w:rsidRDefault="0068538E" w:rsidP="0068538E">
      <w:pPr>
        <w:pStyle w:val="BodyText"/>
        <w:numPr>
          <w:ilvl w:val="0"/>
          <w:numId w:val="16"/>
        </w:numPr>
        <w:rPr>
          <w:sz w:val="24"/>
          <w:szCs w:val="26"/>
        </w:rPr>
      </w:pPr>
      <w:r w:rsidRPr="003E5508">
        <w:rPr>
          <w:rFonts w:eastAsia="Times New Roman" w:cs="Arial"/>
          <w:sz w:val="24"/>
          <w:lang w:val="en-AU" w:eastAsia="en-AU"/>
        </w:rPr>
        <w:t>Serpentine Creek</w:t>
      </w:r>
    </w:p>
    <w:p w14:paraId="164D6FE5" w14:textId="68B239A1" w:rsidR="0068538E" w:rsidRDefault="0068538E" w:rsidP="003E5508">
      <w:pPr>
        <w:pStyle w:val="BodyText"/>
        <w:rPr>
          <w:sz w:val="24"/>
          <w:szCs w:val="26"/>
        </w:rPr>
      </w:pPr>
    </w:p>
    <w:p w14:paraId="1859CAD4" w14:textId="577DFDCD" w:rsidR="00FC09A1" w:rsidRPr="00FC09A1" w:rsidRDefault="00FC09A1" w:rsidP="00FC09A1">
      <w:pPr>
        <w:pStyle w:val="Heading2"/>
      </w:pPr>
      <w:bookmarkStart w:id="18" w:name="_Toc133420158"/>
      <w:bookmarkStart w:id="19" w:name="_Toc133420449"/>
      <w:bookmarkStart w:id="20" w:name="_Toc133420536"/>
      <w:r w:rsidRPr="00FC09A1">
        <w:t>1.5 What species were targeted and why?</w:t>
      </w:r>
      <w:bookmarkEnd w:id="18"/>
      <w:bookmarkEnd w:id="19"/>
      <w:bookmarkEnd w:id="20"/>
    </w:p>
    <w:p w14:paraId="58C6D6A8" w14:textId="77777777" w:rsidR="007129B9" w:rsidRPr="003E5508" w:rsidRDefault="007129B9" w:rsidP="007129B9">
      <w:pPr>
        <w:pStyle w:val="ListParagraph"/>
        <w:widowControl w:val="0"/>
        <w:tabs>
          <w:tab w:val="left" w:pos="722"/>
          <w:tab w:val="left" w:pos="723"/>
        </w:tabs>
        <w:autoSpaceDE w:val="0"/>
        <w:autoSpaceDN w:val="0"/>
        <w:spacing w:before="123" w:after="0"/>
        <w:ind w:left="0"/>
        <w:contextualSpacing w:val="0"/>
        <w:rPr>
          <w:rFonts w:ascii="VIC-Medium"/>
          <w:sz w:val="24"/>
          <w:szCs w:val="22"/>
        </w:rPr>
      </w:pPr>
    </w:p>
    <w:p w14:paraId="5E1DC559" w14:textId="334B52AB" w:rsidR="003E5508" w:rsidRPr="003E5508" w:rsidRDefault="003E5508" w:rsidP="00AC32CD">
      <w:pPr>
        <w:pStyle w:val="BodyText"/>
        <w:jc w:val="both"/>
        <w:rPr>
          <w:sz w:val="24"/>
          <w:szCs w:val="26"/>
          <w:lang w:val="en-AU"/>
        </w:rPr>
      </w:pPr>
      <w:r w:rsidRPr="003E5508">
        <w:rPr>
          <w:sz w:val="24"/>
          <w:szCs w:val="26"/>
          <w:lang w:val="en-AU"/>
        </w:rPr>
        <w:t>The four duck species (</w:t>
      </w:r>
      <w:r w:rsidR="007129B9">
        <w:rPr>
          <w:sz w:val="24"/>
          <w:szCs w:val="26"/>
          <w:lang w:val="en-AU"/>
        </w:rPr>
        <w:t>c</w:t>
      </w:r>
      <w:r w:rsidRPr="003E5508">
        <w:rPr>
          <w:sz w:val="24"/>
          <w:szCs w:val="26"/>
          <w:lang w:val="en-AU"/>
        </w:rPr>
        <w:t xml:space="preserve">hestnut </w:t>
      </w:r>
      <w:r w:rsidR="007129B9">
        <w:rPr>
          <w:sz w:val="24"/>
          <w:szCs w:val="26"/>
          <w:lang w:val="en-AU"/>
        </w:rPr>
        <w:t>t</w:t>
      </w:r>
      <w:r w:rsidRPr="003E5508">
        <w:rPr>
          <w:sz w:val="24"/>
          <w:szCs w:val="26"/>
          <w:lang w:val="en-AU"/>
        </w:rPr>
        <w:t xml:space="preserve">eals, </w:t>
      </w:r>
      <w:r w:rsidR="007129B9">
        <w:rPr>
          <w:sz w:val="24"/>
          <w:szCs w:val="26"/>
          <w:lang w:val="en-AU"/>
        </w:rPr>
        <w:t>g</w:t>
      </w:r>
      <w:r w:rsidRPr="003E5508">
        <w:rPr>
          <w:sz w:val="24"/>
          <w:szCs w:val="26"/>
          <w:lang w:val="en-AU"/>
        </w:rPr>
        <w:t xml:space="preserve">rey </w:t>
      </w:r>
      <w:r w:rsidR="007129B9">
        <w:rPr>
          <w:sz w:val="24"/>
          <w:szCs w:val="26"/>
          <w:lang w:val="en-AU"/>
        </w:rPr>
        <w:t>t</w:t>
      </w:r>
      <w:r w:rsidRPr="003E5508">
        <w:rPr>
          <w:sz w:val="24"/>
          <w:szCs w:val="26"/>
          <w:lang w:val="en-AU"/>
        </w:rPr>
        <w:t xml:space="preserve">eals, </w:t>
      </w:r>
      <w:r w:rsidR="007129B9">
        <w:rPr>
          <w:sz w:val="24"/>
          <w:szCs w:val="26"/>
          <w:lang w:val="en-AU"/>
        </w:rPr>
        <w:t>p</w:t>
      </w:r>
      <w:r w:rsidRPr="003E5508">
        <w:rPr>
          <w:sz w:val="24"/>
          <w:szCs w:val="26"/>
          <w:lang w:val="en-AU"/>
        </w:rPr>
        <w:t xml:space="preserve">acific </w:t>
      </w:r>
      <w:r w:rsidR="007129B9">
        <w:rPr>
          <w:sz w:val="24"/>
          <w:szCs w:val="26"/>
          <w:lang w:val="en-AU"/>
        </w:rPr>
        <w:t>b</w:t>
      </w:r>
      <w:r w:rsidRPr="003E5508">
        <w:rPr>
          <w:sz w:val="24"/>
          <w:szCs w:val="26"/>
          <w:lang w:val="en-AU"/>
        </w:rPr>
        <w:t xml:space="preserve">lack </w:t>
      </w:r>
      <w:r w:rsidR="007129B9">
        <w:rPr>
          <w:sz w:val="24"/>
          <w:szCs w:val="26"/>
          <w:lang w:val="en-AU"/>
        </w:rPr>
        <w:t>d</w:t>
      </w:r>
      <w:r w:rsidRPr="003E5508">
        <w:rPr>
          <w:sz w:val="24"/>
          <w:szCs w:val="26"/>
          <w:lang w:val="en-AU"/>
        </w:rPr>
        <w:t xml:space="preserve">ucks, </w:t>
      </w:r>
      <w:r w:rsidR="007129B9">
        <w:rPr>
          <w:sz w:val="24"/>
          <w:szCs w:val="26"/>
          <w:lang w:val="en-AU"/>
        </w:rPr>
        <w:t>p</w:t>
      </w:r>
      <w:r w:rsidRPr="003E5508">
        <w:rPr>
          <w:sz w:val="24"/>
          <w:szCs w:val="26"/>
          <w:lang w:val="en-AU"/>
        </w:rPr>
        <w:t xml:space="preserve">ink-eared </w:t>
      </w:r>
      <w:r w:rsidR="007129B9">
        <w:rPr>
          <w:sz w:val="24"/>
          <w:szCs w:val="26"/>
          <w:lang w:val="en-AU"/>
        </w:rPr>
        <w:t>d</w:t>
      </w:r>
      <w:r w:rsidRPr="003E5508">
        <w:rPr>
          <w:sz w:val="24"/>
          <w:szCs w:val="26"/>
          <w:lang w:val="en-AU"/>
        </w:rPr>
        <w:t xml:space="preserve">ucks) studied are available for hunting in the open season, and so can form a component of </w:t>
      </w:r>
      <w:proofErr w:type="gramStart"/>
      <w:r w:rsidRPr="003E5508">
        <w:rPr>
          <w:sz w:val="24"/>
          <w:szCs w:val="26"/>
          <w:lang w:val="en-AU"/>
        </w:rPr>
        <w:t>general public</w:t>
      </w:r>
      <w:proofErr w:type="gramEnd"/>
      <w:r w:rsidRPr="003E5508">
        <w:rPr>
          <w:sz w:val="24"/>
          <w:szCs w:val="26"/>
          <w:lang w:val="en-AU"/>
        </w:rPr>
        <w:t xml:space="preserve"> diets. The four species were chosen because they represented &gt;75% of waterfowl harvested in 2017. Importantly, these ducks differ in their feeding modes. Chestnut and </w:t>
      </w:r>
      <w:r w:rsidR="005E51B5">
        <w:rPr>
          <w:sz w:val="24"/>
          <w:szCs w:val="26"/>
          <w:lang w:val="en-AU"/>
        </w:rPr>
        <w:t>g</w:t>
      </w:r>
      <w:r w:rsidRPr="003E5508">
        <w:rPr>
          <w:sz w:val="24"/>
          <w:szCs w:val="26"/>
          <w:lang w:val="en-AU"/>
        </w:rPr>
        <w:t xml:space="preserve">rey </w:t>
      </w:r>
      <w:r w:rsidR="005E51B5">
        <w:rPr>
          <w:sz w:val="24"/>
          <w:szCs w:val="26"/>
          <w:lang w:val="en-AU"/>
        </w:rPr>
        <w:t>t</w:t>
      </w:r>
      <w:r w:rsidRPr="003E5508">
        <w:rPr>
          <w:sz w:val="24"/>
          <w:szCs w:val="26"/>
          <w:lang w:val="en-AU"/>
        </w:rPr>
        <w:t xml:space="preserve">eals are highly capable divers, but also frequently ‘dabble’ food from the water surface. Pacific </w:t>
      </w:r>
      <w:r w:rsidR="005E51B5">
        <w:rPr>
          <w:sz w:val="24"/>
          <w:szCs w:val="26"/>
          <w:lang w:val="en-AU"/>
        </w:rPr>
        <w:t>b</w:t>
      </w:r>
      <w:r w:rsidRPr="003E5508">
        <w:rPr>
          <w:sz w:val="24"/>
          <w:szCs w:val="26"/>
          <w:lang w:val="en-AU"/>
        </w:rPr>
        <w:t xml:space="preserve">lack </w:t>
      </w:r>
      <w:r w:rsidR="005E51B5">
        <w:rPr>
          <w:sz w:val="24"/>
          <w:szCs w:val="26"/>
          <w:lang w:val="en-AU"/>
        </w:rPr>
        <w:t>d</w:t>
      </w:r>
      <w:r w:rsidRPr="003E5508">
        <w:rPr>
          <w:sz w:val="24"/>
          <w:szCs w:val="26"/>
          <w:lang w:val="en-AU"/>
        </w:rPr>
        <w:t xml:space="preserve">ucks engage in various feeding modes, but tend not to be highly effective divers, and feed more heavily from shallow sediment and waterweeds. Pink-eared </w:t>
      </w:r>
      <w:r w:rsidR="005E51B5">
        <w:rPr>
          <w:sz w:val="24"/>
          <w:szCs w:val="26"/>
          <w:lang w:val="en-AU"/>
        </w:rPr>
        <w:t>d</w:t>
      </w:r>
      <w:r w:rsidRPr="003E5508">
        <w:rPr>
          <w:sz w:val="24"/>
          <w:szCs w:val="26"/>
          <w:lang w:val="en-AU"/>
        </w:rPr>
        <w:t xml:space="preserve">ucks are considered almost exclusively filter-feeders and typically only ‘dabble’ the surface (eating small crustaceans and insects). Pink-eared </w:t>
      </w:r>
      <w:r w:rsidR="005E51B5">
        <w:rPr>
          <w:sz w:val="24"/>
          <w:szCs w:val="26"/>
          <w:lang w:val="en-AU"/>
        </w:rPr>
        <w:t>d</w:t>
      </w:r>
      <w:r w:rsidRPr="003E5508">
        <w:rPr>
          <w:sz w:val="24"/>
          <w:szCs w:val="26"/>
          <w:lang w:val="en-AU"/>
        </w:rPr>
        <w:t>ucks dive infrequently, if at all. These behaviours influence the ducks’ exposure to different sources of contaminants held in aquatic animals, water and sediment.</w:t>
      </w:r>
    </w:p>
    <w:p w14:paraId="49150134" w14:textId="76897175" w:rsidR="003E5508" w:rsidRDefault="003E5508" w:rsidP="003E5508">
      <w:pPr>
        <w:pStyle w:val="BodyText"/>
        <w:rPr>
          <w:sz w:val="24"/>
          <w:szCs w:val="26"/>
        </w:rPr>
      </w:pPr>
    </w:p>
    <w:p w14:paraId="11D29436" w14:textId="62DA8C25" w:rsidR="00FC09A1" w:rsidRPr="00FC09A1" w:rsidRDefault="00FC09A1" w:rsidP="00FC09A1">
      <w:pPr>
        <w:pStyle w:val="Heading2"/>
      </w:pPr>
      <w:bookmarkStart w:id="21" w:name="_Toc133420159"/>
      <w:bookmarkStart w:id="22" w:name="_Toc133420450"/>
      <w:bookmarkStart w:id="23" w:name="_Toc133420537"/>
      <w:r w:rsidRPr="00FC09A1">
        <w:t>1.6 What elements were targeted and why?</w:t>
      </w:r>
      <w:bookmarkEnd w:id="21"/>
      <w:bookmarkEnd w:id="22"/>
      <w:bookmarkEnd w:id="23"/>
      <w:r w:rsidRPr="00FC09A1">
        <w:t xml:space="preserve"> </w:t>
      </w:r>
    </w:p>
    <w:p w14:paraId="04C386D8" w14:textId="77777777" w:rsidR="000B55DC" w:rsidRPr="003E5508" w:rsidRDefault="000B55DC" w:rsidP="000B55DC">
      <w:pPr>
        <w:pStyle w:val="ListParagraph"/>
        <w:widowControl w:val="0"/>
        <w:tabs>
          <w:tab w:val="left" w:pos="722"/>
          <w:tab w:val="left" w:pos="723"/>
        </w:tabs>
        <w:autoSpaceDE w:val="0"/>
        <w:autoSpaceDN w:val="0"/>
        <w:spacing w:before="123" w:after="0"/>
        <w:ind w:left="0"/>
        <w:contextualSpacing w:val="0"/>
        <w:rPr>
          <w:rFonts w:ascii="VIC-Medium"/>
          <w:sz w:val="24"/>
          <w:szCs w:val="22"/>
        </w:rPr>
      </w:pPr>
    </w:p>
    <w:p w14:paraId="3D1D3BFE" w14:textId="77777777" w:rsidR="003E5508" w:rsidRPr="003E5508" w:rsidRDefault="003E5508" w:rsidP="00AC32CD">
      <w:pPr>
        <w:pStyle w:val="BodyText"/>
        <w:jc w:val="both"/>
        <w:rPr>
          <w:sz w:val="24"/>
          <w:szCs w:val="26"/>
          <w:lang w:val="en-AU"/>
        </w:rPr>
      </w:pPr>
      <w:r w:rsidRPr="003E5508">
        <w:rPr>
          <w:sz w:val="24"/>
          <w:szCs w:val="26"/>
          <w:lang w:val="en-AU"/>
        </w:rPr>
        <w:t>Eight trace elements (arsenic, cadmium, chromium, copper, lead, mercury, selenium and zinc) were selected for assessment as they are common anthropogenic contaminants, and at elevated concentrations can have toxic effects in humans. Although these trace elements vary in their toxicities, they all have the potential to cause harm if ingested at sufficient quantities.</w:t>
      </w:r>
    </w:p>
    <w:p w14:paraId="3CE1EFD7" w14:textId="718F47EC" w:rsidR="003E5508" w:rsidRDefault="003E5508" w:rsidP="003E5508">
      <w:pPr>
        <w:pStyle w:val="BodyText"/>
        <w:rPr>
          <w:sz w:val="24"/>
          <w:szCs w:val="26"/>
        </w:rPr>
      </w:pPr>
    </w:p>
    <w:p w14:paraId="20C7250B" w14:textId="02CFF1DD" w:rsidR="00FC09A1" w:rsidRPr="003E5508" w:rsidRDefault="00FC09A1" w:rsidP="00FC09A1">
      <w:pPr>
        <w:pStyle w:val="Heading2"/>
      </w:pPr>
      <w:bookmarkStart w:id="24" w:name="_Toc133420160"/>
      <w:bookmarkStart w:id="25" w:name="_Toc133420451"/>
      <w:bookmarkStart w:id="26" w:name="_Toc133420538"/>
      <w:r>
        <w:t>1.7 Why is lead of concern?</w:t>
      </w:r>
      <w:bookmarkEnd w:id="24"/>
      <w:bookmarkEnd w:id="25"/>
      <w:bookmarkEnd w:id="26"/>
      <w:r>
        <w:t xml:space="preserve"> </w:t>
      </w:r>
    </w:p>
    <w:p w14:paraId="3B9CC331" w14:textId="77777777" w:rsidR="000B55DC" w:rsidRPr="003E5508" w:rsidRDefault="000B55DC" w:rsidP="00AC32CD">
      <w:pPr>
        <w:pStyle w:val="ListParagraph"/>
        <w:widowControl w:val="0"/>
        <w:tabs>
          <w:tab w:val="left" w:pos="722"/>
          <w:tab w:val="left" w:pos="723"/>
        </w:tabs>
        <w:autoSpaceDE w:val="0"/>
        <w:autoSpaceDN w:val="0"/>
        <w:spacing w:before="123" w:after="0"/>
        <w:ind w:left="0"/>
        <w:contextualSpacing w:val="0"/>
        <w:jc w:val="both"/>
        <w:rPr>
          <w:rFonts w:ascii="VIC-Medium"/>
          <w:sz w:val="24"/>
          <w:szCs w:val="22"/>
        </w:rPr>
      </w:pPr>
    </w:p>
    <w:p w14:paraId="5B539154" w14:textId="68DF944C" w:rsidR="003E5508" w:rsidRPr="003E5508" w:rsidRDefault="003E5508" w:rsidP="00AC32CD">
      <w:pPr>
        <w:pStyle w:val="BodyText"/>
        <w:jc w:val="both"/>
        <w:rPr>
          <w:sz w:val="24"/>
          <w:szCs w:val="26"/>
          <w:lang w:val="en-AU"/>
        </w:rPr>
      </w:pPr>
      <w:r w:rsidRPr="003E5508">
        <w:rPr>
          <w:sz w:val="24"/>
          <w:szCs w:val="26"/>
          <w:lang w:val="en-AU"/>
        </w:rPr>
        <w:t>Lead is of particular interest, as there is concern among the public that lead shot used in hunting might leach into the environment and/or be ingested accidentally by ducks. Lead shot was banned in Victoria in 2002, but there is public concern that remnant lead shot may still be present in some waterbody sediments. Lead has well-known toxic effects in humans. Ducks that frequently feed from the bottom (</w:t>
      </w:r>
      <w:r w:rsidR="00DC773F">
        <w:rPr>
          <w:sz w:val="24"/>
          <w:szCs w:val="26"/>
          <w:lang w:val="en-AU"/>
        </w:rPr>
        <w:t>p</w:t>
      </w:r>
      <w:r w:rsidRPr="003E5508">
        <w:rPr>
          <w:sz w:val="24"/>
          <w:szCs w:val="26"/>
          <w:lang w:val="en-AU"/>
        </w:rPr>
        <w:t xml:space="preserve">acific </w:t>
      </w:r>
      <w:r w:rsidR="00DC773F">
        <w:rPr>
          <w:sz w:val="24"/>
          <w:szCs w:val="26"/>
          <w:lang w:val="en-AU"/>
        </w:rPr>
        <w:t>b</w:t>
      </w:r>
      <w:r w:rsidRPr="003E5508">
        <w:rPr>
          <w:sz w:val="24"/>
          <w:szCs w:val="26"/>
          <w:lang w:val="en-AU"/>
        </w:rPr>
        <w:t xml:space="preserve">lack </w:t>
      </w:r>
      <w:r w:rsidR="00DC773F">
        <w:rPr>
          <w:sz w:val="24"/>
          <w:szCs w:val="26"/>
          <w:lang w:val="en-AU"/>
        </w:rPr>
        <w:t>d</w:t>
      </w:r>
      <w:r w:rsidRPr="003E5508">
        <w:rPr>
          <w:sz w:val="24"/>
          <w:szCs w:val="26"/>
          <w:lang w:val="en-AU"/>
        </w:rPr>
        <w:t xml:space="preserve">ucks) or dive for food (the two teal species) are more likely to be exposed to lead shot in sediment. Hence, ducks that seldom dive and almost exclusively ‘dabble’ from the surface (Pink-eared </w:t>
      </w:r>
      <w:r w:rsidR="00DC773F">
        <w:rPr>
          <w:sz w:val="24"/>
          <w:szCs w:val="26"/>
          <w:lang w:val="en-AU"/>
        </w:rPr>
        <w:t>d</w:t>
      </w:r>
      <w:r w:rsidRPr="003E5508">
        <w:rPr>
          <w:sz w:val="24"/>
          <w:szCs w:val="26"/>
          <w:lang w:val="en-AU"/>
        </w:rPr>
        <w:t xml:space="preserve">ucks) and less likely to be exposed to lead in sediments. </w:t>
      </w:r>
    </w:p>
    <w:p w14:paraId="15CB96A7" w14:textId="77777777" w:rsidR="003E5508" w:rsidRDefault="003E5508" w:rsidP="003E5508">
      <w:pPr>
        <w:pStyle w:val="BodyText"/>
      </w:pPr>
    </w:p>
    <w:p w14:paraId="2554E7EF" w14:textId="77777777" w:rsidR="003E5508" w:rsidRDefault="003E5508" w:rsidP="003E5508">
      <w:pPr>
        <w:pStyle w:val="BodyText"/>
      </w:pPr>
    </w:p>
    <w:p w14:paraId="1E98FAE1" w14:textId="77777777" w:rsidR="003E5508" w:rsidRDefault="003E5508" w:rsidP="003E5508">
      <w:pPr>
        <w:pStyle w:val="BodyText"/>
      </w:pPr>
    </w:p>
    <w:p w14:paraId="55C3AF88" w14:textId="6AB86726" w:rsidR="00927E13" w:rsidRPr="00AE1996" w:rsidRDefault="004D18E0" w:rsidP="00AE1996">
      <w:pPr>
        <w:pStyle w:val="Heading1"/>
      </w:pPr>
      <w:bookmarkStart w:id="27" w:name="_bookmark4"/>
      <w:bookmarkStart w:id="28" w:name="_Toc133420161"/>
      <w:bookmarkStart w:id="29" w:name="_Toc133420452"/>
      <w:bookmarkStart w:id="30" w:name="_Toc133420539"/>
      <w:bookmarkEnd w:id="27"/>
      <w:r>
        <w:lastRenderedPageBreak/>
        <w:t>Summary Results</w:t>
      </w:r>
      <w:bookmarkEnd w:id="28"/>
      <w:bookmarkEnd w:id="29"/>
      <w:bookmarkEnd w:id="30"/>
    </w:p>
    <w:p w14:paraId="2761C735" w14:textId="77777777" w:rsidR="004D18E0" w:rsidRPr="004D18E0" w:rsidRDefault="004D18E0" w:rsidP="00AC32CD">
      <w:pPr>
        <w:pStyle w:val="BodyText"/>
        <w:spacing w:before="122"/>
        <w:ind w:right="225"/>
        <w:jc w:val="both"/>
        <w:rPr>
          <w:sz w:val="24"/>
          <w:szCs w:val="26"/>
          <w:lang w:val="en-AU"/>
        </w:rPr>
      </w:pPr>
      <w:r w:rsidRPr="004D18E0">
        <w:rPr>
          <w:sz w:val="24"/>
          <w:szCs w:val="26"/>
          <w:lang w:val="en-AU"/>
        </w:rPr>
        <w:t>EPA’s study data indicate that:</w:t>
      </w:r>
    </w:p>
    <w:p w14:paraId="6D240B00" w14:textId="77777777" w:rsidR="004D18E0" w:rsidRPr="004D18E0" w:rsidRDefault="004D18E0" w:rsidP="00AC32CD">
      <w:pPr>
        <w:pStyle w:val="BodyText"/>
        <w:numPr>
          <w:ilvl w:val="0"/>
          <w:numId w:val="17"/>
        </w:numPr>
        <w:spacing w:before="122"/>
        <w:ind w:right="225"/>
        <w:jc w:val="both"/>
        <w:rPr>
          <w:sz w:val="24"/>
          <w:szCs w:val="26"/>
          <w:lang w:val="en-AU"/>
        </w:rPr>
      </w:pPr>
      <w:r w:rsidRPr="004D18E0">
        <w:rPr>
          <w:sz w:val="24"/>
          <w:szCs w:val="26"/>
          <w:lang w:val="en-AU"/>
        </w:rPr>
        <w:t>Chromium and zinc concentrations in wild duck meat and livers were not at levels likely to pose a human health risk.</w:t>
      </w:r>
    </w:p>
    <w:p w14:paraId="1AC6FB89" w14:textId="77777777" w:rsidR="004D18E0" w:rsidRPr="004D18E0" w:rsidRDefault="004D18E0" w:rsidP="00AC32CD">
      <w:pPr>
        <w:pStyle w:val="BodyText"/>
        <w:numPr>
          <w:ilvl w:val="0"/>
          <w:numId w:val="17"/>
        </w:numPr>
        <w:spacing w:before="122"/>
        <w:ind w:right="225"/>
        <w:jc w:val="both"/>
        <w:rPr>
          <w:b/>
          <w:bCs/>
          <w:sz w:val="24"/>
          <w:szCs w:val="26"/>
          <w:lang w:val="en-AU"/>
        </w:rPr>
      </w:pPr>
      <w:r w:rsidRPr="004D18E0">
        <w:rPr>
          <w:sz w:val="24"/>
          <w:szCs w:val="26"/>
          <w:lang w:val="en-AU"/>
        </w:rPr>
        <w:t>Arsenic, cadmium, copper, lead, mercury and selenium exceeded residual concentrations reported in domestic poultry and were at or above levels where some personal consideration of health risks associated with consumption of the animal product may be warranted (Table 1).</w:t>
      </w:r>
    </w:p>
    <w:p w14:paraId="5EAC660C" w14:textId="77777777" w:rsidR="004D18E0" w:rsidRPr="004D18E0" w:rsidRDefault="004D18E0" w:rsidP="00AC32CD">
      <w:pPr>
        <w:pStyle w:val="BodyText"/>
        <w:numPr>
          <w:ilvl w:val="0"/>
          <w:numId w:val="17"/>
        </w:numPr>
        <w:spacing w:before="122"/>
        <w:ind w:right="225"/>
        <w:jc w:val="both"/>
        <w:rPr>
          <w:sz w:val="24"/>
          <w:szCs w:val="26"/>
          <w:lang w:val="en-AU"/>
        </w:rPr>
      </w:pPr>
      <w:r w:rsidRPr="004D18E0">
        <w:rPr>
          <w:sz w:val="24"/>
          <w:szCs w:val="26"/>
          <w:lang w:val="en-AU"/>
        </w:rPr>
        <w:t>Lead concentrations in wildfowl represent a relatively low risk. Lead levels in some ducks did exceed dietary guidelines for domestic meat, but median lead levels across all samples never exceeded 1.2% of recommended dietary limits for adults or children.</w:t>
      </w:r>
    </w:p>
    <w:p w14:paraId="16D3CBCE" w14:textId="32102001" w:rsidR="004D18E0" w:rsidRDefault="004D18E0" w:rsidP="00AC32CD">
      <w:pPr>
        <w:pStyle w:val="BodyText"/>
        <w:numPr>
          <w:ilvl w:val="0"/>
          <w:numId w:val="17"/>
        </w:numPr>
        <w:spacing w:before="122"/>
        <w:ind w:right="225"/>
        <w:jc w:val="both"/>
        <w:rPr>
          <w:sz w:val="24"/>
          <w:szCs w:val="26"/>
          <w:lang w:val="en-AU"/>
        </w:rPr>
      </w:pPr>
      <w:r w:rsidRPr="004D18E0">
        <w:rPr>
          <w:sz w:val="24"/>
          <w:szCs w:val="26"/>
          <w:lang w:val="en-AU"/>
        </w:rPr>
        <w:t>Cadmium, copper, mercury and selenium represent moderate risks. Of these, copper and selenium showed the most pronounced risk. For children, median copper and selenium levels exceeded 20% of daily limits in a single meat serving.</w:t>
      </w:r>
    </w:p>
    <w:p w14:paraId="4A6560C6" w14:textId="3A00D2A9" w:rsidR="006753F0" w:rsidRDefault="004D18E0" w:rsidP="00AC32CD">
      <w:pPr>
        <w:pStyle w:val="BodyText"/>
        <w:spacing w:before="122"/>
        <w:ind w:right="225"/>
        <w:jc w:val="both"/>
        <w:rPr>
          <w:sz w:val="24"/>
          <w:szCs w:val="26"/>
          <w:lang w:val="en-AU"/>
        </w:rPr>
      </w:pPr>
      <w:r w:rsidRPr="004D18E0">
        <w:rPr>
          <w:sz w:val="24"/>
          <w:szCs w:val="26"/>
          <w:lang w:val="en-AU"/>
        </w:rPr>
        <w:t>Food Standards Australia and New Zealand (FSANZ) and the World Health Organization (WHO) do not provide guidelines for trace elements in wild waterfowl. Therefore, where available, guidelines for domestic meat and edible offal are applied in this assessment. Further to this, comparisons are made using values obtained from the Australian Residual Metals in Meat and Eggs Survey (</w:t>
      </w:r>
      <w:hyperlink r:id="rId22" w:history="1">
        <w:r w:rsidRPr="004D18E0">
          <w:rPr>
            <w:rStyle w:val="Hyperlink"/>
            <w:rFonts w:ascii="VIC" w:hAnsi="VIC"/>
            <w:sz w:val="24"/>
            <w:szCs w:val="26"/>
            <w:lang w:val="en-AU"/>
          </w:rPr>
          <w:t>Metals in Meat and Eggs Survey, 2009-2010</w:t>
        </w:r>
      </w:hyperlink>
      <w:r w:rsidRPr="004D18E0">
        <w:rPr>
          <w:sz w:val="24"/>
          <w:szCs w:val="26"/>
          <w:lang w:val="en-AU"/>
        </w:rPr>
        <w:t xml:space="preserve">). Where guidelines are referenced, these are from </w:t>
      </w:r>
      <w:hyperlink r:id="rId23" w:history="1">
        <w:r w:rsidRPr="004D18E0">
          <w:rPr>
            <w:rStyle w:val="Hyperlink"/>
            <w:rFonts w:ascii="VIC" w:hAnsi="VIC"/>
            <w:sz w:val="24"/>
            <w:szCs w:val="26"/>
            <w:lang w:val="en-AU"/>
          </w:rPr>
          <w:t>FSANZ Schedule 19 (2016)</w:t>
        </w:r>
      </w:hyperlink>
      <w:r w:rsidRPr="004D18E0">
        <w:rPr>
          <w:sz w:val="24"/>
          <w:szCs w:val="26"/>
          <w:lang w:val="en-AU"/>
        </w:rPr>
        <w:t xml:space="preserve"> unless otherwise stated.</w:t>
      </w:r>
    </w:p>
    <w:p w14:paraId="4C9E7270" w14:textId="77777777" w:rsidR="006753F0" w:rsidRPr="004D18E0" w:rsidRDefault="006753F0" w:rsidP="00AC32CD">
      <w:pPr>
        <w:pStyle w:val="BodyText"/>
        <w:spacing w:before="122"/>
        <w:ind w:right="225"/>
        <w:jc w:val="both"/>
        <w:rPr>
          <w:sz w:val="24"/>
          <w:szCs w:val="26"/>
          <w:lang w:val="en-AU"/>
        </w:rPr>
      </w:pPr>
    </w:p>
    <w:p w14:paraId="25196C04" w14:textId="7688DB65" w:rsidR="00FC09A1" w:rsidRDefault="00FC09A1" w:rsidP="00FC09A1">
      <w:pPr>
        <w:pStyle w:val="Heading2"/>
      </w:pPr>
      <w:bookmarkStart w:id="31" w:name="_Toc133420162"/>
      <w:bookmarkStart w:id="32" w:name="_Toc133420453"/>
      <w:bookmarkStart w:id="33" w:name="_Toc133420540"/>
      <w:r>
        <w:t xml:space="preserve">1.8 </w:t>
      </w:r>
      <w:r w:rsidRPr="004D18E0">
        <w:t>Comparison to domestic poultry meat (all species combined)</w:t>
      </w:r>
      <w:bookmarkEnd w:id="31"/>
      <w:bookmarkEnd w:id="32"/>
      <w:bookmarkEnd w:id="33"/>
    </w:p>
    <w:p w14:paraId="39074B7D" w14:textId="7B55A0A8" w:rsidR="00FC09A1" w:rsidRPr="00FC09A1" w:rsidRDefault="00FC09A1" w:rsidP="00002E15">
      <w:pPr>
        <w:pStyle w:val="Heading3"/>
      </w:pPr>
      <w:bookmarkStart w:id="34" w:name="_Toc133420163"/>
      <w:bookmarkStart w:id="35" w:name="_Toc133420454"/>
      <w:bookmarkStart w:id="36" w:name="_Toc133420541"/>
      <w:r>
        <w:t>1.8.1 Meat</w:t>
      </w:r>
      <w:bookmarkEnd w:id="34"/>
      <w:bookmarkEnd w:id="35"/>
      <w:bookmarkEnd w:id="36"/>
      <w:r>
        <w:t xml:space="preserve"> </w:t>
      </w:r>
    </w:p>
    <w:p w14:paraId="01731245" w14:textId="1F014DAF" w:rsidR="004D18E0" w:rsidRDefault="004D18E0" w:rsidP="00AC32CD">
      <w:pPr>
        <w:pStyle w:val="BodyText"/>
        <w:spacing w:before="122"/>
        <w:ind w:right="225"/>
        <w:jc w:val="both"/>
        <w:rPr>
          <w:sz w:val="24"/>
          <w:szCs w:val="26"/>
          <w:lang w:val="en-AU"/>
        </w:rPr>
      </w:pPr>
      <w:r w:rsidRPr="004D18E0">
        <w:rPr>
          <w:sz w:val="24"/>
          <w:szCs w:val="26"/>
          <w:lang w:val="en-AU"/>
        </w:rPr>
        <w:t xml:space="preserve">Arsenic, lead and mercury were detected in wild duck meat: arsenic in 22.5% of samples, lead in 32.5% of samples, mercury in 97.5% of samples). In contrast, the Residual Metals in Meat and Eggs Survey reported that arsenic, lead and mercury were never detected in domestic poultry meat. Cadmium was never detected in wild duck meat, corresponding to domestic poultry meat as identified in the Residual Metals Survey. </w:t>
      </w:r>
      <w:proofErr w:type="gramStart"/>
      <w:r w:rsidRPr="004D18E0">
        <w:rPr>
          <w:sz w:val="24"/>
          <w:szCs w:val="26"/>
          <w:lang w:val="en-AU"/>
        </w:rPr>
        <w:t>With the exception of</w:t>
      </w:r>
      <w:proofErr w:type="gramEnd"/>
      <w:r w:rsidRPr="004D18E0">
        <w:rPr>
          <w:sz w:val="24"/>
          <w:szCs w:val="26"/>
          <w:lang w:val="en-AU"/>
        </w:rPr>
        <w:t xml:space="preserve"> chromium, the remaining metals, copper, selenium and zinc, were higher in wild duck meat samples compared to domestic poultry meat (Table 1). </w:t>
      </w:r>
    </w:p>
    <w:p w14:paraId="100E07C5" w14:textId="173A4858" w:rsidR="00FC09A1" w:rsidRPr="004D18E0" w:rsidRDefault="00FC09A1" w:rsidP="00002E15">
      <w:pPr>
        <w:pStyle w:val="Heading3"/>
      </w:pPr>
      <w:bookmarkStart w:id="37" w:name="_Toc133420164"/>
      <w:bookmarkStart w:id="38" w:name="_Toc133420455"/>
      <w:bookmarkStart w:id="39" w:name="_Toc133420542"/>
      <w:r>
        <w:t>1.8.2 Liver</w:t>
      </w:r>
      <w:bookmarkEnd w:id="37"/>
      <w:bookmarkEnd w:id="38"/>
      <w:bookmarkEnd w:id="39"/>
      <w:r>
        <w:t xml:space="preserve"> </w:t>
      </w:r>
    </w:p>
    <w:p w14:paraId="730B80A5" w14:textId="759912BE" w:rsidR="004D18E0" w:rsidRDefault="004D18E0" w:rsidP="00AC32CD">
      <w:pPr>
        <w:pStyle w:val="BodyText"/>
        <w:spacing w:before="122"/>
        <w:ind w:right="225"/>
        <w:jc w:val="both"/>
        <w:rPr>
          <w:sz w:val="24"/>
          <w:szCs w:val="26"/>
          <w:lang w:val="en-AU"/>
        </w:rPr>
      </w:pPr>
      <w:r w:rsidRPr="004D18E0">
        <w:rPr>
          <w:sz w:val="24"/>
          <w:szCs w:val="26"/>
          <w:lang w:val="en-AU"/>
        </w:rPr>
        <w:t xml:space="preserve">Lead and mercury were detected in wild duck livers (lead in 100% of samples, mercury </w:t>
      </w:r>
      <w:r w:rsidRPr="004D18E0">
        <w:rPr>
          <w:sz w:val="24"/>
          <w:szCs w:val="26"/>
          <w:lang w:val="en-AU"/>
        </w:rPr>
        <w:lastRenderedPageBreak/>
        <w:t>in 97.5% of samples), but were never detected in domestic poultry livers In the Residual Metals in Meat and Eggs Survey. All other metals were present in both wild and domestic livers. Except for chromium, all trace elements were higher in the wild duck liver samples (Table 1).</w:t>
      </w:r>
    </w:p>
    <w:p w14:paraId="0C70FDFC" w14:textId="77777777" w:rsidR="006753F0" w:rsidRDefault="006753F0" w:rsidP="00AC32CD">
      <w:pPr>
        <w:pStyle w:val="BodyText"/>
        <w:spacing w:before="122"/>
        <w:ind w:right="225"/>
        <w:jc w:val="both"/>
        <w:rPr>
          <w:sz w:val="24"/>
          <w:szCs w:val="26"/>
          <w:lang w:val="en-AU"/>
        </w:rPr>
      </w:pPr>
    </w:p>
    <w:p w14:paraId="1724C786" w14:textId="37E03E03" w:rsidR="00FC09A1" w:rsidRPr="004D18E0" w:rsidRDefault="00FC09A1" w:rsidP="00FC09A1">
      <w:pPr>
        <w:pStyle w:val="Heading2"/>
      </w:pPr>
      <w:bookmarkStart w:id="40" w:name="_Toc133420165"/>
      <w:bookmarkStart w:id="41" w:name="_Toc133420456"/>
      <w:bookmarkStart w:id="42" w:name="_Toc133420543"/>
      <w:r>
        <w:t>1.9 Comparison to guidelines (all species combined)</w:t>
      </w:r>
      <w:bookmarkEnd w:id="40"/>
      <w:bookmarkEnd w:id="41"/>
      <w:bookmarkEnd w:id="42"/>
    </w:p>
    <w:p w14:paraId="04C02939" w14:textId="77777777" w:rsidR="004D18E0" w:rsidRPr="004D18E0" w:rsidRDefault="004D18E0" w:rsidP="00AC32CD">
      <w:pPr>
        <w:pStyle w:val="BodyText"/>
        <w:spacing w:before="122"/>
        <w:ind w:right="225"/>
        <w:jc w:val="both"/>
        <w:rPr>
          <w:sz w:val="24"/>
          <w:szCs w:val="26"/>
          <w:lang w:val="en-AU"/>
        </w:rPr>
      </w:pPr>
      <w:r w:rsidRPr="004D18E0">
        <w:rPr>
          <w:sz w:val="24"/>
          <w:szCs w:val="26"/>
          <w:lang w:val="en-AU"/>
        </w:rPr>
        <w:t>Only lead and cadmium have FSANZ guidelines that are specific to meat and edible offal (</w:t>
      </w:r>
      <w:proofErr w:type="gramStart"/>
      <w:r w:rsidRPr="004D18E0">
        <w:rPr>
          <w:sz w:val="24"/>
          <w:szCs w:val="26"/>
          <w:lang w:val="en-AU"/>
        </w:rPr>
        <w:t>e.g.</w:t>
      </w:r>
      <w:proofErr w:type="gramEnd"/>
      <w:r w:rsidRPr="004D18E0">
        <w:rPr>
          <w:sz w:val="24"/>
          <w:szCs w:val="26"/>
          <w:lang w:val="en-AU"/>
        </w:rPr>
        <w:t xml:space="preserve"> liver). The guidelines provide the following maximum concentrations: lead in meat – 0.05 mg/kg; edible offal – 0.5 mg/kg; cadmium in meat – 0.05 mg/kg, edible offal – 0.5 mg/kg. Cadmium was never detected in wild duck breast meat. Cadmium exceeded guidelines for edible offal in 10% of liver samples. Lead exceeded guidelines for both meat and edible offal (liver samples) in 2% samples.</w:t>
      </w:r>
    </w:p>
    <w:p w14:paraId="5AFA1099" w14:textId="77777777" w:rsidR="004D18E0" w:rsidRPr="004D18E0" w:rsidRDefault="004D18E0" w:rsidP="00AC32CD">
      <w:pPr>
        <w:pStyle w:val="BodyText"/>
        <w:spacing w:before="122"/>
        <w:ind w:right="225"/>
        <w:jc w:val="both"/>
        <w:rPr>
          <w:sz w:val="24"/>
          <w:szCs w:val="26"/>
          <w:lang w:val="en-AU"/>
        </w:rPr>
      </w:pPr>
      <w:r w:rsidRPr="004D18E0">
        <w:rPr>
          <w:sz w:val="24"/>
          <w:szCs w:val="26"/>
          <w:lang w:val="en-AU"/>
        </w:rPr>
        <w:t xml:space="preserve">Trace element concentrations in wild duck livers were always greater than domestic meats: median concentrations were higher for arsenic x3; cadmium x41, copper x3.4; lead x18; mercury x3.5). In addition, with the exception of chromium, trace elements in duck meat and livers always exceeded trace element quantities measured in domestic poultry as part of the Australian Residual Metals in Meat and Eggs survey of 2009-2010. </w:t>
      </w:r>
    </w:p>
    <w:p w14:paraId="176C98E1" w14:textId="12517914" w:rsidR="00927E13" w:rsidRDefault="004D18E0" w:rsidP="00AC32CD">
      <w:pPr>
        <w:pStyle w:val="BodyText"/>
        <w:spacing w:before="122"/>
        <w:ind w:right="225"/>
        <w:jc w:val="both"/>
        <w:rPr>
          <w:sz w:val="24"/>
          <w:szCs w:val="26"/>
          <w:lang w:val="en-AU"/>
        </w:rPr>
      </w:pPr>
      <w:r w:rsidRPr="004D18E0">
        <w:rPr>
          <w:sz w:val="24"/>
          <w:szCs w:val="26"/>
          <w:lang w:val="en-AU"/>
        </w:rPr>
        <w:t>These findings are neither surprising or concerning. Wild ducks have much longer lifespans than domestic poultry (before slaughter) and have more opportunity to bioaccumulate trace elements over a longer life-span. Wild animals are also more likely to be exposed to more natural and anthropogenic trace elements in their environments. Table 2 compares the values found for wild ducks to recommended daily limits.</w:t>
      </w:r>
    </w:p>
    <w:p w14:paraId="5A9E9C93" w14:textId="11E9A8F8" w:rsidR="0062553E" w:rsidRDefault="0062553E" w:rsidP="004D18E0">
      <w:pPr>
        <w:pStyle w:val="BodyText"/>
        <w:spacing w:before="122"/>
        <w:ind w:right="225"/>
        <w:rPr>
          <w:sz w:val="24"/>
          <w:szCs w:val="26"/>
          <w:lang w:val="en-AU"/>
        </w:rPr>
      </w:pPr>
    </w:p>
    <w:p w14:paraId="4C03E558" w14:textId="6C27828C" w:rsidR="0062553E" w:rsidRDefault="0062553E" w:rsidP="004D18E0">
      <w:pPr>
        <w:pStyle w:val="BodyText"/>
        <w:spacing w:before="122"/>
        <w:ind w:right="225"/>
        <w:rPr>
          <w:sz w:val="24"/>
          <w:szCs w:val="26"/>
          <w:lang w:val="en-AU"/>
        </w:rPr>
      </w:pPr>
    </w:p>
    <w:p w14:paraId="42C82F98" w14:textId="77777777" w:rsidR="00265E03" w:rsidRDefault="00265E03" w:rsidP="004D18E0">
      <w:pPr>
        <w:pStyle w:val="BodyText"/>
        <w:spacing w:before="122"/>
        <w:ind w:right="225"/>
        <w:rPr>
          <w:sz w:val="24"/>
          <w:szCs w:val="26"/>
          <w:lang w:val="en-AU"/>
        </w:rPr>
      </w:pPr>
    </w:p>
    <w:p w14:paraId="3C7B58D6" w14:textId="630BD6D7" w:rsidR="0062553E" w:rsidRDefault="0062553E" w:rsidP="004D18E0">
      <w:pPr>
        <w:pStyle w:val="BodyText"/>
        <w:spacing w:before="122"/>
        <w:ind w:right="225"/>
        <w:rPr>
          <w:sz w:val="24"/>
          <w:szCs w:val="26"/>
          <w:lang w:val="en-AU"/>
        </w:rPr>
      </w:pPr>
    </w:p>
    <w:p w14:paraId="583DF2C9" w14:textId="5B97EC73" w:rsidR="0062553E" w:rsidRDefault="0062553E" w:rsidP="004D18E0">
      <w:pPr>
        <w:pStyle w:val="BodyText"/>
        <w:spacing w:before="122"/>
        <w:ind w:right="225"/>
        <w:rPr>
          <w:sz w:val="24"/>
          <w:szCs w:val="26"/>
          <w:lang w:val="en-AU"/>
        </w:rPr>
      </w:pPr>
    </w:p>
    <w:p w14:paraId="6E56D30A" w14:textId="13EB099E" w:rsidR="0062553E" w:rsidRDefault="0062553E" w:rsidP="004D18E0">
      <w:pPr>
        <w:pStyle w:val="BodyText"/>
        <w:spacing w:before="122"/>
        <w:ind w:right="225"/>
        <w:rPr>
          <w:sz w:val="24"/>
          <w:szCs w:val="26"/>
          <w:lang w:val="en-AU"/>
        </w:rPr>
      </w:pPr>
    </w:p>
    <w:p w14:paraId="3ADCA3ED" w14:textId="3D899769" w:rsidR="0062553E" w:rsidRDefault="0062553E" w:rsidP="004D18E0">
      <w:pPr>
        <w:pStyle w:val="BodyText"/>
        <w:spacing w:before="122"/>
        <w:ind w:right="225"/>
        <w:rPr>
          <w:sz w:val="24"/>
          <w:szCs w:val="26"/>
          <w:lang w:val="en-AU"/>
        </w:rPr>
      </w:pPr>
    </w:p>
    <w:p w14:paraId="62826897" w14:textId="3FF353B4" w:rsidR="0062553E" w:rsidRDefault="0062553E" w:rsidP="004D18E0">
      <w:pPr>
        <w:pStyle w:val="BodyText"/>
        <w:spacing w:before="122"/>
        <w:ind w:right="225"/>
        <w:rPr>
          <w:sz w:val="24"/>
          <w:szCs w:val="26"/>
          <w:lang w:val="en-AU"/>
        </w:rPr>
      </w:pPr>
    </w:p>
    <w:p w14:paraId="74DEFAFA" w14:textId="294F39D0" w:rsidR="0062553E" w:rsidRDefault="0062553E" w:rsidP="004D18E0">
      <w:pPr>
        <w:pStyle w:val="BodyText"/>
        <w:spacing w:before="122"/>
        <w:ind w:right="225"/>
        <w:rPr>
          <w:sz w:val="24"/>
          <w:szCs w:val="26"/>
          <w:lang w:val="en-AU"/>
        </w:rPr>
      </w:pPr>
    </w:p>
    <w:p w14:paraId="5F69B71A" w14:textId="75A258C7" w:rsidR="0062553E" w:rsidRDefault="0062553E" w:rsidP="004D18E0">
      <w:pPr>
        <w:pStyle w:val="BodyText"/>
        <w:spacing w:before="122"/>
        <w:ind w:right="225"/>
        <w:rPr>
          <w:sz w:val="24"/>
          <w:szCs w:val="26"/>
          <w:lang w:val="en-AU"/>
        </w:rPr>
      </w:pPr>
    </w:p>
    <w:p w14:paraId="7034BF8E" w14:textId="77777777" w:rsidR="0062553E" w:rsidRPr="004D18E0" w:rsidRDefault="0062553E" w:rsidP="004D18E0">
      <w:pPr>
        <w:pStyle w:val="BodyText"/>
        <w:spacing w:before="122"/>
        <w:ind w:right="225"/>
        <w:rPr>
          <w:sz w:val="24"/>
          <w:szCs w:val="26"/>
          <w:lang w:val="en-AU"/>
        </w:rPr>
      </w:pPr>
    </w:p>
    <w:p w14:paraId="362A01FA" w14:textId="77777777" w:rsidR="004D18E0" w:rsidRPr="004D18E0" w:rsidRDefault="004D18E0" w:rsidP="001200DE">
      <w:pPr>
        <w:rPr>
          <w:szCs w:val="22"/>
        </w:rPr>
      </w:pPr>
    </w:p>
    <w:p w14:paraId="049A9FA7" w14:textId="77777777" w:rsidR="004D18E0" w:rsidRPr="004D18E0" w:rsidRDefault="004D18E0" w:rsidP="00265E03">
      <w:pPr>
        <w:jc w:val="both"/>
        <w:rPr>
          <w:rFonts w:ascii="Calibri" w:hAnsi="Calibri" w:cs="Calibri"/>
          <w:color w:val="212121"/>
          <w:sz w:val="28"/>
          <w:szCs w:val="28"/>
        </w:rPr>
      </w:pPr>
      <w:r w:rsidRPr="007B3A31">
        <w:rPr>
          <w:rFonts w:ascii="VIC-Medium" w:eastAsiaTheme="majorEastAsia" w:hAnsi="VIC-Medium" w:cs="Times New Roman (Headings CS)"/>
          <w:color w:val="005FB4"/>
          <w:sz w:val="26"/>
          <w:szCs w:val="26"/>
        </w:rPr>
        <w:t xml:space="preserve">Table 1. </w:t>
      </w:r>
      <w:r w:rsidRPr="004D18E0">
        <w:rPr>
          <w:rFonts w:ascii="Arial" w:hAnsi="Arial"/>
        </w:rPr>
        <w:t>Comparison of the current data (trace elements in ducks) to Residual Metals in Meat and Eggs Study. Medians and 90</w:t>
      </w:r>
      <w:r w:rsidRPr="004D18E0">
        <w:rPr>
          <w:rFonts w:ascii="Arial" w:hAnsi="Arial"/>
          <w:vertAlign w:val="superscript"/>
        </w:rPr>
        <w:t>th</w:t>
      </w:r>
      <w:r w:rsidRPr="004D18E0">
        <w:rPr>
          <w:rFonts w:ascii="Arial" w:hAnsi="Arial"/>
        </w:rPr>
        <w:t xml:space="preserve"> percentiles are shown. Where trace elements were not detected in poultry meat (arsenic, cadmium, chromium and lead), poultry liver (cadmium and chromium), or wild duck meat (cadmium), a ‘</w:t>
      </w:r>
      <w:proofErr w:type="spellStart"/>
      <w:r w:rsidRPr="004D18E0">
        <w:rPr>
          <w:rFonts w:ascii="Arial" w:hAnsi="Arial"/>
        </w:rPr>
        <w:t>nd</w:t>
      </w:r>
      <w:proofErr w:type="spellEnd"/>
      <w:r w:rsidRPr="004D18E0">
        <w:rPr>
          <w:rFonts w:ascii="Arial" w:hAnsi="Arial"/>
        </w:rPr>
        <w:t>’ (non-detect) notation is used with half the lower limit of reporting (LOR) shown. The LOR is the lower limit at which the element can be detected. The use of half-LOR is a standard reporting method where elements are not detected in analysis, because it cannot be assumed that analyses below the LOR mean there is zero concentration present. Of the elements investigated here, FSANZ guidelines for meat and edible offal are only in place for cadmium and lead. The 90% percentile r</w:t>
      </w:r>
      <w:r w:rsidRPr="004D18E0">
        <w:rPr>
          <w:rFonts w:ascii="Arial" w:hAnsi="Arial"/>
          <w:color w:val="000000"/>
        </w:rPr>
        <w:t>epresents the point at which only 10% of the remaining data is higher. It is used to describe the data similar to the way we use median (50</w:t>
      </w:r>
      <w:r w:rsidRPr="004D18E0">
        <w:rPr>
          <w:rFonts w:ascii="Arial" w:hAnsi="Arial"/>
          <w:color w:val="000000"/>
          <w:vertAlign w:val="superscript"/>
        </w:rPr>
        <w:t>th</w:t>
      </w:r>
      <w:r w:rsidRPr="004D18E0">
        <w:rPr>
          <w:rFonts w:ascii="Arial" w:hAnsi="Arial"/>
          <w:color w:val="000000"/>
        </w:rPr>
        <w:t xml:space="preserve"> percentile or middle value) but excluding outlier values that skew the data. </w:t>
      </w:r>
    </w:p>
    <w:tbl>
      <w:tblPr>
        <w:tblpPr w:leftFromText="180" w:rightFromText="180" w:vertAnchor="text" w:horzAnchor="margin" w:tblpY="206"/>
        <w:tblW w:w="10915" w:type="dxa"/>
        <w:tblLayout w:type="fixed"/>
        <w:tblLook w:val="04A0" w:firstRow="1" w:lastRow="0" w:firstColumn="1" w:lastColumn="0" w:noHBand="0" w:noVBand="1"/>
      </w:tblPr>
      <w:tblGrid>
        <w:gridCol w:w="993"/>
        <w:gridCol w:w="614"/>
        <w:gridCol w:w="661"/>
        <w:gridCol w:w="993"/>
        <w:gridCol w:w="992"/>
        <w:gridCol w:w="709"/>
        <w:gridCol w:w="1275"/>
        <w:gridCol w:w="1134"/>
        <w:gridCol w:w="1276"/>
        <w:gridCol w:w="1134"/>
        <w:gridCol w:w="1134"/>
      </w:tblGrid>
      <w:tr w:rsidR="004D18E0" w:rsidRPr="00BC0A19" w14:paraId="0A9092DB" w14:textId="77777777" w:rsidTr="00041EE1">
        <w:trPr>
          <w:trHeight w:val="62"/>
        </w:trPr>
        <w:tc>
          <w:tcPr>
            <w:tcW w:w="993" w:type="dxa"/>
            <w:tcBorders>
              <w:top w:val="single" w:sz="4" w:space="0" w:color="auto"/>
              <w:left w:val="nil"/>
              <w:bottom w:val="single" w:sz="4" w:space="0" w:color="auto"/>
              <w:right w:val="nil"/>
            </w:tcBorders>
            <w:shd w:val="clear" w:color="auto" w:fill="auto"/>
            <w:noWrap/>
            <w:vAlign w:val="center"/>
            <w:hideMark/>
          </w:tcPr>
          <w:p w14:paraId="3AEB7640"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 </w:t>
            </w:r>
          </w:p>
        </w:tc>
        <w:tc>
          <w:tcPr>
            <w:tcW w:w="1275" w:type="dxa"/>
            <w:gridSpan w:val="2"/>
            <w:tcBorders>
              <w:top w:val="single" w:sz="4" w:space="0" w:color="auto"/>
              <w:left w:val="nil"/>
              <w:bottom w:val="single" w:sz="4" w:space="0" w:color="auto"/>
              <w:right w:val="nil"/>
            </w:tcBorders>
            <w:vAlign w:val="center"/>
          </w:tcPr>
          <w:p w14:paraId="76245202"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FSANZ Guideline</w:t>
            </w:r>
          </w:p>
        </w:tc>
        <w:tc>
          <w:tcPr>
            <w:tcW w:w="3969" w:type="dxa"/>
            <w:gridSpan w:val="4"/>
            <w:tcBorders>
              <w:top w:val="single" w:sz="4" w:space="0" w:color="auto"/>
              <w:left w:val="nil"/>
              <w:bottom w:val="single" w:sz="4" w:space="0" w:color="auto"/>
              <w:right w:val="nil"/>
            </w:tcBorders>
            <w:shd w:val="clear" w:color="auto" w:fill="auto"/>
            <w:noWrap/>
            <w:vAlign w:val="center"/>
            <w:hideMark/>
          </w:tcPr>
          <w:p w14:paraId="6A6B11FB"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 xml:space="preserve">Trace elements in </w:t>
            </w:r>
            <w:proofErr w:type="gramStart"/>
            <w:r w:rsidRPr="00BC0A19">
              <w:rPr>
                <w:rFonts w:ascii="Arial" w:hAnsi="Arial"/>
                <w:b/>
                <w:bCs/>
                <w:color w:val="000000"/>
                <w:sz w:val="15"/>
                <w:szCs w:val="15"/>
              </w:rPr>
              <w:t>ducks</w:t>
            </w:r>
            <w:proofErr w:type="gramEnd"/>
            <w:r w:rsidRPr="00BC0A19">
              <w:rPr>
                <w:rFonts w:ascii="Arial" w:hAnsi="Arial"/>
                <w:b/>
                <w:bCs/>
                <w:color w:val="000000"/>
                <w:sz w:val="15"/>
                <w:szCs w:val="15"/>
              </w:rPr>
              <w:t xml:space="preserve"> study</w:t>
            </w:r>
          </w:p>
          <w:p w14:paraId="289DC2BF"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w:t>
            </w:r>
            <w:proofErr w:type="gramStart"/>
            <w:r w:rsidRPr="00BC0A19">
              <w:rPr>
                <w:rFonts w:ascii="Arial" w:hAnsi="Arial"/>
                <w:b/>
                <w:bCs/>
                <w:color w:val="000000"/>
                <w:sz w:val="15"/>
                <w:szCs w:val="15"/>
              </w:rPr>
              <w:t>all</w:t>
            </w:r>
            <w:proofErr w:type="gramEnd"/>
            <w:r w:rsidRPr="00BC0A19">
              <w:rPr>
                <w:rFonts w:ascii="Arial" w:hAnsi="Arial"/>
                <w:b/>
                <w:bCs/>
                <w:color w:val="000000"/>
                <w:sz w:val="15"/>
                <w:szCs w:val="15"/>
              </w:rPr>
              <w:t xml:space="preserve"> waterfowl species combined)</w:t>
            </w:r>
          </w:p>
        </w:tc>
        <w:tc>
          <w:tcPr>
            <w:tcW w:w="4678" w:type="dxa"/>
            <w:gridSpan w:val="4"/>
            <w:tcBorders>
              <w:top w:val="single" w:sz="4" w:space="0" w:color="auto"/>
              <w:left w:val="nil"/>
              <w:bottom w:val="single" w:sz="4" w:space="0" w:color="auto"/>
              <w:right w:val="nil"/>
            </w:tcBorders>
            <w:noWrap/>
            <w:vAlign w:val="center"/>
            <w:hideMark/>
          </w:tcPr>
          <w:p w14:paraId="4744D6D4"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Residual metals survey</w:t>
            </w:r>
          </w:p>
          <w:p w14:paraId="36F25AC2"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w:t>
            </w:r>
            <w:proofErr w:type="gramStart"/>
            <w:r w:rsidRPr="00BC0A19">
              <w:rPr>
                <w:rFonts w:ascii="Arial" w:hAnsi="Arial"/>
                <w:b/>
                <w:bCs/>
                <w:color w:val="000000"/>
                <w:sz w:val="15"/>
                <w:szCs w:val="15"/>
              </w:rPr>
              <w:t>domestic</w:t>
            </w:r>
            <w:proofErr w:type="gramEnd"/>
            <w:r w:rsidRPr="00BC0A19">
              <w:rPr>
                <w:rFonts w:ascii="Arial" w:hAnsi="Arial"/>
                <w:b/>
                <w:bCs/>
                <w:color w:val="000000"/>
                <w:sz w:val="15"/>
                <w:szCs w:val="15"/>
              </w:rPr>
              <w:t xml:space="preserve"> poultry)</w:t>
            </w:r>
          </w:p>
        </w:tc>
      </w:tr>
      <w:tr w:rsidR="004D18E0" w:rsidRPr="00BC0A19" w14:paraId="6236565F" w14:textId="77777777" w:rsidTr="00041EE1">
        <w:trPr>
          <w:trHeight w:val="62"/>
        </w:trPr>
        <w:tc>
          <w:tcPr>
            <w:tcW w:w="993" w:type="dxa"/>
            <w:tcBorders>
              <w:top w:val="nil"/>
              <w:left w:val="nil"/>
              <w:bottom w:val="nil"/>
              <w:right w:val="nil"/>
            </w:tcBorders>
            <w:shd w:val="clear" w:color="auto" w:fill="auto"/>
            <w:noWrap/>
            <w:vAlign w:val="center"/>
            <w:hideMark/>
          </w:tcPr>
          <w:p w14:paraId="675E8EE2"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 </w:t>
            </w:r>
          </w:p>
        </w:tc>
        <w:tc>
          <w:tcPr>
            <w:tcW w:w="614" w:type="dxa"/>
            <w:tcBorders>
              <w:top w:val="single" w:sz="4" w:space="0" w:color="auto"/>
              <w:left w:val="nil"/>
              <w:bottom w:val="nil"/>
              <w:right w:val="nil"/>
            </w:tcBorders>
          </w:tcPr>
          <w:p w14:paraId="319C5E34" w14:textId="77777777" w:rsidR="004D18E0" w:rsidRPr="00BC0A19" w:rsidRDefault="004D18E0" w:rsidP="0070368A">
            <w:pPr>
              <w:jc w:val="center"/>
              <w:rPr>
                <w:rFonts w:ascii="Arial" w:hAnsi="Arial"/>
                <w:b/>
                <w:bCs/>
                <w:color w:val="000000"/>
                <w:sz w:val="13"/>
                <w:szCs w:val="13"/>
              </w:rPr>
            </w:pPr>
            <w:r w:rsidRPr="00BC0A19">
              <w:rPr>
                <w:rFonts w:ascii="Arial" w:hAnsi="Arial"/>
                <w:b/>
                <w:bCs/>
                <w:color w:val="000000"/>
                <w:sz w:val="13"/>
                <w:szCs w:val="13"/>
              </w:rPr>
              <w:t>Meat</w:t>
            </w:r>
          </w:p>
        </w:tc>
        <w:tc>
          <w:tcPr>
            <w:tcW w:w="661" w:type="dxa"/>
            <w:tcBorders>
              <w:top w:val="single" w:sz="4" w:space="0" w:color="auto"/>
              <w:left w:val="nil"/>
              <w:bottom w:val="nil"/>
              <w:right w:val="nil"/>
            </w:tcBorders>
          </w:tcPr>
          <w:p w14:paraId="56D6AC28" w14:textId="77777777" w:rsidR="004D18E0" w:rsidRPr="00BC0A19" w:rsidRDefault="004D18E0" w:rsidP="0070368A">
            <w:pPr>
              <w:jc w:val="center"/>
              <w:rPr>
                <w:rFonts w:ascii="Arial" w:hAnsi="Arial"/>
                <w:b/>
                <w:bCs/>
                <w:color w:val="000000"/>
                <w:sz w:val="13"/>
                <w:szCs w:val="13"/>
              </w:rPr>
            </w:pPr>
            <w:r w:rsidRPr="00BC0A19">
              <w:rPr>
                <w:rFonts w:ascii="Arial" w:hAnsi="Arial"/>
                <w:b/>
                <w:bCs/>
                <w:color w:val="000000"/>
                <w:sz w:val="13"/>
                <w:szCs w:val="13"/>
              </w:rPr>
              <w:t>Offal</w:t>
            </w:r>
          </w:p>
        </w:tc>
        <w:tc>
          <w:tcPr>
            <w:tcW w:w="1985" w:type="dxa"/>
            <w:gridSpan w:val="2"/>
            <w:tcBorders>
              <w:top w:val="single" w:sz="4" w:space="0" w:color="auto"/>
              <w:left w:val="nil"/>
              <w:bottom w:val="nil"/>
              <w:right w:val="nil"/>
            </w:tcBorders>
            <w:shd w:val="clear" w:color="000000" w:fill="D5DCE4"/>
            <w:noWrap/>
            <w:vAlign w:val="center"/>
            <w:hideMark/>
          </w:tcPr>
          <w:p w14:paraId="04976E60"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Breast Meat</w:t>
            </w:r>
          </w:p>
        </w:tc>
        <w:tc>
          <w:tcPr>
            <w:tcW w:w="1984" w:type="dxa"/>
            <w:gridSpan w:val="2"/>
            <w:tcBorders>
              <w:top w:val="single" w:sz="4" w:space="0" w:color="auto"/>
              <w:left w:val="nil"/>
              <w:bottom w:val="nil"/>
              <w:right w:val="nil"/>
            </w:tcBorders>
            <w:shd w:val="clear" w:color="auto" w:fill="auto"/>
            <w:noWrap/>
            <w:vAlign w:val="center"/>
            <w:hideMark/>
          </w:tcPr>
          <w:p w14:paraId="4072054F"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Liver</w:t>
            </w:r>
          </w:p>
        </w:tc>
        <w:tc>
          <w:tcPr>
            <w:tcW w:w="2410" w:type="dxa"/>
            <w:gridSpan w:val="2"/>
            <w:tcBorders>
              <w:top w:val="single" w:sz="4" w:space="0" w:color="auto"/>
              <w:left w:val="nil"/>
              <w:bottom w:val="nil"/>
              <w:right w:val="nil"/>
            </w:tcBorders>
            <w:shd w:val="clear" w:color="000000" w:fill="D5DCE4"/>
            <w:noWrap/>
            <w:vAlign w:val="center"/>
            <w:hideMark/>
          </w:tcPr>
          <w:p w14:paraId="613E65D0" w14:textId="77777777" w:rsidR="00041EE1" w:rsidRDefault="004D18E0" w:rsidP="0070368A">
            <w:pPr>
              <w:jc w:val="center"/>
              <w:rPr>
                <w:rFonts w:ascii="Arial" w:hAnsi="Arial"/>
                <w:b/>
                <w:bCs/>
                <w:color w:val="000000"/>
                <w:sz w:val="15"/>
                <w:szCs w:val="15"/>
              </w:rPr>
            </w:pPr>
            <w:r w:rsidRPr="00BC0A19">
              <w:rPr>
                <w:rFonts w:ascii="Arial" w:hAnsi="Arial"/>
                <w:b/>
                <w:bCs/>
                <w:color w:val="000000"/>
                <w:sz w:val="15"/>
                <w:szCs w:val="15"/>
              </w:rPr>
              <w:t>Poultry Meat</w:t>
            </w:r>
          </w:p>
          <w:p w14:paraId="71427685" w14:textId="3DAE429D"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w:t>
            </w:r>
            <w:proofErr w:type="gramStart"/>
            <w:r>
              <w:rPr>
                <w:rFonts w:ascii="Arial" w:hAnsi="Arial"/>
                <w:b/>
                <w:bCs/>
                <w:color w:val="000000"/>
                <w:sz w:val="15"/>
                <w:szCs w:val="15"/>
              </w:rPr>
              <w:t>age</w:t>
            </w:r>
            <w:proofErr w:type="gramEnd"/>
            <w:r>
              <w:rPr>
                <w:rFonts w:ascii="Arial" w:hAnsi="Arial"/>
                <w:b/>
                <w:bCs/>
                <w:color w:val="000000"/>
                <w:sz w:val="15"/>
                <w:szCs w:val="15"/>
              </w:rPr>
              <w:t xml:space="preserve"> </w:t>
            </w:r>
            <w:r w:rsidRPr="00BC0A19">
              <w:rPr>
                <w:rFonts w:ascii="Arial" w:hAnsi="Arial"/>
                <w:b/>
                <w:bCs/>
                <w:color w:val="000000"/>
                <w:sz w:val="15"/>
                <w:szCs w:val="15"/>
              </w:rPr>
              <w:t>35-52 days)</w:t>
            </w:r>
          </w:p>
        </w:tc>
        <w:tc>
          <w:tcPr>
            <w:tcW w:w="2268" w:type="dxa"/>
            <w:gridSpan w:val="2"/>
            <w:tcBorders>
              <w:top w:val="single" w:sz="4" w:space="0" w:color="auto"/>
              <w:left w:val="nil"/>
              <w:bottom w:val="nil"/>
              <w:right w:val="nil"/>
            </w:tcBorders>
            <w:shd w:val="clear" w:color="auto" w:fill="auto"/>
            <w:noWrap/>
            <w:vAlign w:val="center"/>
            <w:hideMark/>
          </w:tcPr>
          <w:p w14:paraId="3B89BF94" w14:textId="77777777" w:rsidR="00041EE1" w:rsidRDefault="004D18E0" w:rsidP="0070368A">
            <w:pPr>
              <w:jc w:val="center"/>
              <w:rPr>
                <w:rFonts w:ascii="Arial" w:hAnsi="Arial"/>
                <w:b/>
                <w:bCs/>
                <w:color w:val="000000"/>
                <w:sz w:val="15"/>
                <w:szCs w:val="15"/>
              </w:rPr>
            </w:pPr>
            <w:r w:rsidRPr="00BC0A19">
              <w:rPr>
                <w:rFonts w:ascii="Arial" w:hAnsi="Arial"/>
                <w:b/>
                <w:bCs/>
                <w:color w:val="000000"/>
                <w:sz w:val="15"/>
                <w:szCs w:val="15"/>
              </w:rPr>
              <w:t>Poultry Liver</w:t>
            </w:r>
          </w:p>
          <w:p w14:paraId="1DC9CFD1" w14:textId="4A29AAC9"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w:t>
            </w:r>
            <w:proofErr w:type="gramStart"/>
            <w:r>
              <w:rPr>
                <w:rFonts w:ascii="Arial" w:hAnsi="Arial"/>
                <w:b/>
                <w:bCs/>
                <w:color w:val="000000"/>
                <w:sz w:val="15"/>
                <w:szCs w:val="15"/>
              </w:rPr>
              <w:t>age</w:t>
            </w:r>
            <w:proofErr w:type="gramEnd"/>
            <w:r>
              <w:rPr>
                <w:rFonts w:ascii="Arial" w:hAnsi="Arial"/>
                <w:b/>
                <w:bCs/>
                <w:color w:val="000000"/>
                <w:sz w:val="15"/>
                <w:szCs w:val="15"/>
              </w:rPr>
              <w:t xml:space="preserve"> </w:t>
            </w:r>
            <w:r w:rsidRPr="00BC0A19">
              <w:rPr>
                <w:rFonts w:ascii="Arial" w:hAnsi="Arial"/>
                <w:b/>
                <w:bCs/>
                <w:color w:val="000000"/>
                <w:sz w:val="15"/>
                <w:szCs w:val="15"/>
              </w:rPr>
              <w:t>35-52 days)</w:t>
            </w:r>
          </w:p>
        </w:tc>
      </w:tr>
      <w:tr w:rsidR="004D18E0" w:rsidRPr="00BC0A19" w14:paraId="17A01BB5" w14:textId="77777777" w:rsidTr="00041EE1">
        <w:trPr>
          <w:trHeight w:val="72"/>
        </w:trPr>
        <w:tc>
          <w:tcPr>
            <w:tcW w:w="993" w:type="dxa"/>
            <w:tcBorders>
              <w:top w:val="nil"/>
              <w:left w:val="nil"/>
              <w:bottom w:val="single" w:sz="4" w:space="0" w:color="auto"/>
              <w:right w:val="nil"/>
            </w:tcBorders>
            <w:shd w:val="clear" w:color="auto" w:fill="auto"/>
            <w:noWrap/>
            <w:vAlign w:val="center"/>
            <w:hideMark/>
          </w:tcPr>
          <w:p w14:paraId="599C655C"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 </w:t>
            </w:r>
          </w:p>
        </w:tc>
        <w:tc>
          <w:tcPr>
            <w:tcW w:w="614" w:type="dxa"/>
            <w:tcBorders>
              <w:top w:val="nil"/>
              <w:left w:val="nil"/>
              <w:bottom w:val="single" w:sz="4" w:space="0" w:color="auto"/>
              <w:right w:val="nil"/>
            </w:tcBorders>
          </w:tcPr>
          <w:p w14:paraId="5FE95502" w14:textId="77777777" w:rsidR="004D18E0" w:rsidRPr="00BC0A19" w:rsidRDefault="004D18E0" w:rsidP="0070368A">
            <w:pPr>
              <w:jc w:val="center"/>
              <w:rPr>
                <w:rFonts w:ascii="Arial" w:hAnsi="Arial"/>
                <w:color w:val="000000"/>
                <w:sz w:val="15"/>
                <w:szCs w:val="15"/>
              </w:rPr>
            </w:pPr>
          </w:p>
        </w:tc>
        <w:tc>
          <w:tcPr>
            <w:tcW w:w="661" w:type="dxa"/>
            <w:tcBorders>
              <w:top w:val="nil"/>
              <w:left w:val="nil"/>
              <w:bottom w:val="single" w:sz="4" w:space="0" w:color="auto"/>
              <w:right w:val="nil"/>
            </w:tcBorders>
          </w:tcPr>
          <w:p w14:paraId="156F1EB9" w14:textId="77777777" w:rsidR="004D18E0" w:rsidRPr="00BC0A19" w:rsidRDefault="004D18E0" w:rsidP="0070368A">
            <w:pPr>
              <w:jc w:val="center"/>
              <w:rPr>
                <w:rFonts w:ascii="Arial" w:hAnsi="Arial"/>
                <w:color w:val="000000"/>
                <w:sz w:val="15"/>
                <w:szCs w:val="15"/>
              </w:rPr>
            </w:pPr>
          </w:p>
        </w:tc>
        <w:tc>
          <w:tcPr>
            <w:tcW w:w="993" w:type="dxa"/>
            <w:tcBorders>
              <w:top w:val="nil"/>
              <w:left w:val="nil"/>
              <w:bottom w:val="single" w:sz="4" w:space="0" w:color="auto"/>
              <w:right w:val="nil"/>
            </w:tcBorders>
            <w:shd w:val="clear" w:color="000000" w:fill="D5DCE4"/>
            <w:noWrap/>
            <w:vAlign w:val="center"/>
            <w:hideMark/>
          </w:tcPr>
          <w:p w14:paraId="62FA4F62"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Median</w:t>
            </w:r>
          </w:p>
        </w:tc>
        <w:tc>
          <w:tcPr>
            <w:tcW w:w="992" w:type="dxa"/>
            <w:tcBorders>
              <w:top w:val="nil"/>
              <w:left w:val="nil"/>
              <w:bottom w:val="single" w:sz="4" w:space="0" w:color="auto"/>
              <w:right w:val="nil"/>
            </w:tcBorders>
            <w:shd w:val="clear" w:color="000000" w:fill="D5DCE4"/>
            <w:noWrap/>
            <w:vAlign w:val="center"/>
            <w:hideMark/>
          </w:tcPr>
          <w:p w14:paraId="37C45AF0"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90th Percentile</w:t>
            </w:r>
          </w:p>
        </w:tc>
        <w:tc>
          <w:tcPr>
            <w:tcW w:w="709" w:type="dxa"/>
            <w:tcBorders>
              <w:top w:val="nil"/>
              <w:left w:val="nil"/>
              <w:bottom w:val="single" w:sz="4" w:space="0" w:color="auto"/>
              <w:right w:val="nil"/>
            </w:tcBorders>
            <w:shd w:val="clear" w:color="auto" w:fill="auto"/>
            <w:noWrap/>
            <w:vAlign w:val="center"/>
            <w:hideMark/>
          </w:tcPr>
          <w:p w14:paraId="02E17817"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Median</w:t>
            </w:r>
          </w:p>
        </w:tc>
        <w:tc>
          <w:tcPr>
            <w:tcW w:w="1275" w:type="dxa"/>
            <w:tcBorders>
              <w:top w:val="nil"/>
              <w:left w:val="nil"/>
              <w:bottom w:val="single" w:sz="4" w:space="0" w:color="auto"/>
              <w:right w:val="nil"/>
            </w:tcBorders>
            <w:shd w:val="clear" w:color="auto" w:fill="auto"/>
            <w:noWrap/>
            <w:vAlign w:val="center"/>
            <w:hideMark/>
          </w:tcPr>
          <w:p w14:paraId="1EC8C819"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90th Percentile</w:t>
            </w:r>
          </w:p>
        </w:tc>
        <w:tc>
          <w:tcPr>
            <w:tcW w:w="1134" w:type="dxa"/>
            <w:tcBorders>
              <w:top w:val="nil"/>
              <w:left w:val="nil"/>
              <w:bottom w:val="single" w:sz="4" w:space="0" w:color="auto"/>
              <w:right w:val="nil"/>
            </w:tcBorders>
            <w:shd w:val="clear" w:color="000000" w:fill="D5DCE4"/>
            <w:noWrap/>
            <w:vAlign w:val="center"/>
            <w:hideMark/>
          </w:tcPr>
          <w:p w14:paraId="17B13457"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Median</w:t>
            </w:r>
          </w:p>
        </w:tc>
        <w:tc>
          <w:tcPr>
            <w:tcW w:w="1276" w:type="dxa"/>
            <w:tcBorders>
              <w:top w:val="nil"/>
              <w:left w:val="nil"/>
              <w:bottom w:val="single" w:sz="4" w:space="0" w:color="auto"/>
              <w:right w:val="nil"/>
            </w:tcBorders>
            <w:shd w:val="clear" w:color="000000" w:fill="D5DCE4"/>
            <w:noWrap/>
            <w:vAlign w:val="center"/>
            <w:hideMark/>
          </w:tcPr>
          <w:p w14:paraId="04319C24"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90th Percentile</w:t>
            </w:r>
          </w:p>
        </w:tc>
        <w:tc>
          <w:tcPr>
            <w:tcW w:w="1134" w:type="dxa"/>
            <w:tcBorders>
              <w:top w:val="nil"/>
              <w:left w:val="nil"/>
              <w:bottom w:val="single" w:sz="4" w:space="0" w:color="auto"/>
              <w:right w:val="nil"/>
            </w:tcBorders>
            <w:shd w:val="clear" w:color="auto" w:fill="auto"/>
            <w:noWrap/>
            <w:vAlign w:val="center"/>
            <w:hideMark/>
          </w:tcPr>
          <w:p w14:paraId="7E3FBCD5"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Median</w:t>
            </w:r>
          </w:p>
        </w:tc>
        <w:tc>
          <w:tcPr>
            <w:tcW w:w="1134" w:type="dxa"/>
            <w:tcBorders>
              <w:top w:val="nil"/>
              <w:left w:val="nil"/>
              <w:bottom w:val="single" w:sz="4" w:space="0" w:color="auto"/>
              <w:right w:val="nil"/>
            </w:tcBorders>
            <w:shd w:val="clear" w:color="auto" w:fill="auto"/>
            <w:noWrap/>
            <w:vAlign w:val="center"/>
            <w:hideMark/>
          </w:tcPr>
          <w:p w14:paraId="6E3C3A93"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90th Percentile</w:t>
            </w:r>
          </w:p>
        </w:tc>
      </w:tr>
      <w:tr w:rsidR="004D18E0" w:rsidRPr="00BC0A19" w14:paraId="29D13B86" w14:textId="77777777" w:rsidTr="00041EE1">
        <w:trPr>
          <w:trHeight w:val="62"/>
        </w:trPr>
        <w:tc>
          <w:tcPr>
            <w:tcW w:w="993" w:type="dxa"/>
            <w:tcBorders>
              <w:top w:val="nil"/>
              <w:left w:val="nil"/>
              <w:bottom w:val="single" w:sz="4" w:space="0" w:color="auto"/>
              <w:right w:val="nil"/>
            </w:tcBorders>
            <w:shd w:val="clear" w:color="auto" w:fill="auto"/>
            <w:noWrap/>
            <w:vAlign w:val="center"/>
            <w:hideMark/>
          </w:tcPr>
          <w:p w14:paraId="74539D6E"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 </w:t>
            </w:r>
          </w:p>
        </w:tc>
        <w:tc>
          <w:tcPr>
            <w:tcW w:w="614" w:type="dxa"/>
            <w:tcBorders>
              <w:top w:val="nil"/>
              <w:left w:val="nil"/>
              <w:bottom w:val="single" w:sz="4" w:space="0" w:color="auto"/>
              <w:right w:val="nil"/>
            </w:tcBorders>
            <w:shd w:val="clear" w:color="auto" w:fill="auto"/>
            <w:vAlign w:val="center"/>
          </w:tcPr>
          <w:p w14:paraId="46CB8B62" w14:textId="77777777" w:rsidR="004D18E0" w:rsidRPr="00BC0A19" w:rsidRDefault="004D18E0" w:rsidP="0070368A">
            <w:pPr>
              <w:jc w:val="center"/>
              <w:rPr>
                <w:rFonts w:ascii="Arial" w:hAnsi="Arial"/>
                <w:color w:val="000000"/>
                <w:sz w:val="13"/>
                <w:szCs w:val="13"/>
              </w:rPr>
            </w:pPr>
            <w:r w:rsidRPr="00BC0A19">
              <w:rPr>
                <w:rFonts w:ascii="Arial" w:hAnsi="Arial"/>
                <w:color w:val="000000"/>
                <w:sz w:val="13"/>
                <w:szCs w:val="13"/>
              </w:rPr>
              <w:t>mg/kg</w:t>
            </w:r>
          </w:p>
        </w:tc>
        <w:tc>
          <w:tcPr>
            <w:tcW w:w="661" w:type="dxa"/>
            <w:tcBorders>
              <w:top w:val="nil"/>
              <w:left w:val="nil"/>
              <w:bottom w:val="single" w:sz="4" w:space="0" w:color="auto"/>
              <w:right w:val="nil"/>
            </w:tcBorders>
            <w:shd w:val="clear" w:color="auto" w:fill="auto"/>
            <w:vAlign w:val="center"/>
          </w:tcPr>
          <w:p w14:paraId="09AF0359" w14:textId="77777777" w:rsidR="004D18E0" w:rsidRPr="00BC0A19" w:rsidRDefault="004D18E0" w:rsidP="0070368A">
            <w:pPr>
              <w:jc w:val="center"/>
              <w:rPr>
                <w:rFonts w:ascii="Arial" w:hAnsi="Arial"/>
                <w:color w:val="000000"/>
                <w:sz w:val="13"/>
                <w:szCs w:val="13"/>
              </w:rPr>
            </w:pPr>
            <w:r w:rsidRPr="00BC0A19">
              <w:rPr>
                <w:rFonts w:ascii="Arial" w:hAnsi="Arial"/>
                <w:color w:val="000000"/>
                <w:sz w:val="13"/>
                <w:szCs w:val="13"/>
              </w:rPr>
              <w:t>mg/kg</w:t>
            </w:r>
          </w:p>
        </w:tc>
        <w:tc>
          <w:tcPr>
            <w:tcW w:w="993" w:type="dxa"/>
            <w:tcBorders>
              <w:top w:val="nil"/>
              <w:left w:val="nil"/>
              <w:bottom w:val="single" w:sz="4" w:space="0" w:color="auto"/>
              <w:right w:val="nil"/>
            </w:tcBorders>
            <w:shd w:val="clear" w:color="000000" w:fill="D5DCE4"/>
            <w:noWrap/>
            <w:vAlign w:val="center"/>
            <w:hideMark/>
          </w:tcPr>
          <w:p w14:paraId="1A203185" w14:textId="77777777" w:rsidR="004D18E0" w:rsidRPr="00BC0A19" w:rsidRDefault="004D18E0" w:rsidP="0070368A">
            <w:pPr>
              <w:jc w:val="center"/>
              <w:rPr>
                <w:rFonts w:ascii="Arial" w:hAnsi="Arial"/>
                <w:color w:val="000000"/>
                <w:sz w:val="13"/>
                <w:szCs w:val="13"/>
              </w:rPr>
            </w:pPr>
            <w:r w:rsidRPr="00BC0A19">
              <w:rPr>
                <w:rFonts w:ascii="Arial" w:hAnsi="Arial"/>
                <w:color w:val="000000"/>
                <w:sz w:val="13"/>
                <w:szCs w:val="13"/>
              </w:rPr>
              <w:t>mg/kg</w:t>
            </w:r>
          </w:p>
        </w:tc>
        <w:tc>
          <w:tcPr>
            <w:tcW w:w="992" w:type="dxa"/>
            <w:tcBorders>
              <w:top w:val="nil"/>
              <w:left w:val="nil"/>
              <w:bottom w:val="single" w:sz="4" w:space="0" w:color="auto"/>
              <w:right w:val="nil"/>
            </w:tcBorders>
            <w:shd w:val="clear" w:color="000000" w:fill="D5DCE4"/>
            <w:noWrap/>
            <w:vAlign w:val="center"/>
            <w:hideMark/>
          </w:tcPr>
          <w:p w14:paraId="60187A08" w14:textId="77777777" w:rsidR="004D18E0" w:rsidRPr="00BC0A19" w:rsidRDefault="004D18E0" w:rsidP="0070368A">
            <w:pPr>
              <w:jc w:val="center"/>
              <w:rPr>
                <w:rFonts w:ascii="Arial" w:hAnsi="Arial"/>
                <w:color w:val="000000"/>
                <w:sz w:val="13"/>
                <w:szCs w:val="13"/>
              </w:rPr>
            </w:pPr>
            <w:r w:rsidRPr="00BC0A19">
              <w:rPr>
                <w:rFonts w:ascii="Arial" w:hAnsi="Arial"/>
                <w:color w:val="000000"/>
                <w:sz w:val="13"/>
                <w:szCs w:val="13"/>
              </w:rPr>
              <w:t>mg/kg</w:t>
            </w:r>
          </w:p>
        </w:tc>
        <w:tc>
          <w:tcPr>
            <w:tcW w:w="709" w:type="dxa"/>
            <w:tcBorders>
              <w:top w:val="nil"/>
              <w:left w:val="nil"/>
              <w:bottom w:val="single" w:sz="4" w:space="0" w:color="auto"/>
              <w:right w:val="nil"/>
            </w:tcBorders>
            <w:shd w:val="clear" w:color="auto" w:fill="auto"/>
            <w:noWrap/>
            <w:vAlign w:val="center"/>
            <w:hideMark/>
          </w:tcPr>
          <w:p w14:paraId="260E6005" w14:textId="77777777" w:rsidR="004D18E0" w:rsidRPr="00BC0A19" w:rsidRDefault="004D18E0" w:rsidP="0070368A">
            <w:pPr>
              <w:jc w:val="center"/>
              <w:rPr>
                <w:rFonts w:ascii="Arial" w:hAnsi="Arial"/>
                <w:color w:val="000000"/>
                <w:sz w:val="13"/>
                <w:szCs w:val="13"/>
              </w:rPr>
            </w:pPr>
            <w:r w:rsidRPr="00BC0A19">
              <w:rPr>
                <w:rFonts w:ascii="Arial" w:hAnsi="Arial"/>
                <w:color w:val="000000"/>
                <w:sz w:val="13"/>
                <w:szCs w:val="13"/>
              </w:rPr>
              <w:t>mg/kg</w:t>
            </w:r>
          </w:p>
        </w:tc>
        <w:tc>
          <w:tcPr>
            <w:tcW w:w="1275" w:type="dxa"/>
            <w:tcBorders>
              <w:top w:val="nil"/>
              <w:left w:val="nil"/>
              <w:bottom w:val="single" w:sz="4" w:space="0" w:color="auto"/>
              <w:right w:val="nil"/>
            </w:tcBorders>
            <w:shd w:val="clear" w:color="auto" w:fill="auto"/>
            <w:noWrap/>
            <w:vAlign w:val="center"/>
            <w:hideMark/>
          </w:tcPr>
          <w:p w14:paraId="108674DD" w14:textId="77777777" w:rsidR="004D18E0" w:rsidRPr="00BC0A19" w:rsidRDefault="004D18E0" w:rsidP="0070368A">
            <w:pPr>
              <w:jc w:val="center"/>
              <w:rPr>
                <w:rFonts w:ascii="Arial" w:hAnsi="Arial"/>
                <w:color w:val="000000"/>
                <w:sz w:val="13"/>
                <w:szCs w:val="13"/>
              </w:rPr>
            </w:pPr>
            <w:r w:rsidRPr="00BC0A19">
              <w:rPr>
                <w:rFonts w:ascii="Arial" w:hAnsi="Arial"/>
                <w:color w:val="000000"/>
                <w:sz w:val="13"/>
                <w:szCs w:val="13"/>
              </w:rPr>
              <w:t>mg/kg</w:t>
            </w:r>
          </w:p>
        </w:tc>
        <w:tc>
          <w:tcPr>
            <w:tcW w:w="1134" w:type="dxa"/>
            <w:tcBorders>
              <w:top w:val="nil"/>
              <w:left w:val="nil"/>
              <w:bottom w:val="single" w:sz="4" w:space="0" w:color="auto"/>
              <w:right w:val="nil"/>
            </w:tcBorders>
            <w:shd w:val="clear" w:color="000000" w:fill="D5DCE4"/>
            <w:noWrap/>
            <w:vAlign w:val="center"/>
            <w:hideMark/>
          </w:tcPr>
          <w:p w14:paraId="113DFBFC" w14:textId="77777777" w:rsidR="004D18E0" w:rsidRPr="00BC0A19" w:rsidRDefault="004D18E0" w:rsidP="0070368A">
            <w:pPr>
              <w:jc w:val="center"/>
              <w:rPr>
                <w:rFonts w:ascii="Arial" w:hAnsi="Arial"/>
                <w:color w:val="000000"/>
                <w:sz w:val="13"/>
                <w:szCs w:val="13"/>
              </w:rPr>
            </w:pPr>
            <w:r w:rsidRPr="00BC0A19">
              <w:rPr>
                <w:rFonts w:ascii="Arial" w:hAnsi="Arial"/>
                <w:color w:val="000000"/>
                <w:sz w:val="13"/>
                <w:szCs w:val="13"/>
              </w:rPr>
              <w:t>mg/kg</w:t>
            </w:r>
          </w:p>
        </w:tc>
        <w:tc>
          <w:tcPr>
            <w:tcW w:w="1276" w:type="dxa"/>
            <w:tcBorders>
              <w:top w:val="nil"/>
              <w:left w:val="nil"/>
              <w:bottom w:val="single" w:sz="4" w:space="0" w:color="auto"/>
              <w:right w:val="nil"/>
            </w:tcBorders>
            <w:shd w:val="clear" w:color="000000" w:fill="D5DCE4"/>
            <w:noWrap/>
            <w:vAlign w:val="center"/>
            <w:hideMark/>
          </w:tcPr>
          <w:p w14:paraId="11F8A0C8" w14:textId="77777777" w:rsidR="004D18E0" w:rsidRPr="00BC0A19" w:rsidRDefault="004D18E0" w:rsidP="0070368A">
            <w:pPr>
              <w:jc w:val="center"/>
              <w:rPr>
                <w:rFonts w:ascii="Arial" w:hAnsi="Arial"/>
                <w:color w:val="000000"/>
                <w:sz w:val="13"/>
                <w:szCs w:val="13"/>
              </w:rPr>
            </w:pPr>
            <w:r w:rsidRPr="00BC0A19">
              <w:rPr>
                <w:rFonts w:ascii="Arial" w:hAnsi="Arial"/>
                <w:color w:val="000000"/>
                <w:sz w:val="13"/>
                <w:szCs w:val="13"/>
              </w:rPr>
              <w:t>mg/kg</w:t>
            </w:r>
          </w:p>
        </w:tc>
        <w:tc>
          <w:tcPr>
            <w:tcW w:w="1134" w:type="dxa"/>
            <w:tcBorders>
              <w:top w:val="nil"/>
              <w:left w:val="nil"/>
              <w:bottom w:val="single" w:sz="4" w:space="0" w:color="auto"/>
              <w:right w:val="nil"/>
            </w:tcBorders>
            <w:shd w:val="clear" w:color="auto" w:fill="auto"/>
            <w:noWrap/>
            <w:vAlign w:val="center"/>
            <w:hideMark/>
          </w:tcPr>
          <w:p w14:paraId="0A3CCEE8" w14:textId="77777777" w:rsidR="004D18E0" w:rsidRPr="00BC0A19" w:rsidRDefault="004D18E0" w:rsidP="0070368A">
            <w:pPr>
              <w:jc w:val="center"/>
              <w:rPr>
                <w:rFonts w:ascii="Arial" w:hAnsi="Arial"/>
                <w:color w:val="000000"/>
                <w:sz w:val="13"/>
                <w:szCs w:val="13"/>
              </w:rPr>
            </w:pPr>
            <w:r w:rsidRPr="00BC0A19">
              <w:rPr>
                <w:rFonts w:ascii="Arial" w:hAnsi="Arial"/>
                <w:color w:val="000000"/>
                <w:sz w:val="13"/>
                <w:szCs w:val="13"/>
              </w:rPr>
              <w:t>mg/kg</w:t>
            </w:r>
          </w:p>
        </w:tc>
        <w:tc>
          <w:tcPr>
            <w:tcW w:w="1134" w:type="dxa"/>
            <w:tcBorders>
              <w:top w:val="nil"/>
              <w:left w:val="nil"/>
              <w:bottom w:val="single" w:sz="4" w:space="0" w:color="auto"/>
              <w:right w:val="nil"/>
            </w:tcBorders>
            <w:shd w:val="clear" w:color="auto" w:fill="auto"/>
            <w:noWrap/>
            <w:vAlign w:val="center"/>
            <w:hideMark/>
          </w:tcPr>
          <w:p w14:paraId="59DA613D" w14:textId="77777777" w:rsidR="004D18E0" w:rsidRPr="00BC0A19" w:rsidRDefault="004D18E0" w:rsidP="0070368A">
            <w:pPr>
              <w:jc w:val="center"/>
              <w:rPr>
                <w:rFonts w:ascii="Arial" w:hAnsi="Arial"/>
                <w:color w:val="000000"/>
                <w:sz w:val="13"/>
                <w:szCs w:val="13"/>
              </w:rPr>
            </w:pPr>
            <w:r w:rsidRPr="00BC0A19">
              <w:rPr>
                <w:rFonts w:ascii="Arial" w:hAnsi="Arial"/>
                <w:color w:val="000000"/>
                <w:sz w:val="13"/>
                <w:szCs w:val="13"/>
              </w:rPr>
              <w:t>mg/kg</w:t>
            </w:r>
          </w:p>
        </w:tc>
      </w:tr>
      <w:tr w:rsidR="004D18E0" w:rsidRPr="00BC0A19" w14:paraId="5AD5CCF1" w14:textId="77777777" w:rsidTr="00041EE1">
        <w:trPr>
          <w:trHeight w:val="98"/>
        </w:trPr>
        <w:tc>
          <w:tcPr>
            <w:tcW w:w="993" w:type="dxa"/>
            <w:tcBorders>
              <w:top w:val="nil"/>
              <w:left w:val="nil"/>
              <w:bottom w:val="nil"/>
              <w:right w:val="nil"/>
            </w:tcBorders>
            <w:shd w:val="clear" w:color="auto" w:fill="auto"/>
            <w:noWrap/>
            <w:vAlign w:val="center"/>
            <w:hideMark/>
          </w:tcPr>
          <w:p w14:paraId="5AE55FC4"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Arsenic</w:t>
            </w:r>
          </w:p>
        </w:tc>
        <w:tc>
          <w:tcPr>
            <w:tcW w:w="614" w:type="dxa"/>
            <w:tcBorders>
              <w:top w:val="nil"/>
              <w:left w:val="nil"/>
              <w:bottom w:val="nil"/>
              <w:right w:val="nil"/>
            </w:tcBorders>
          </w:tcPr>
          <w:p w14:paraId="2C97C51C" w14:textId="77777777" w:rsidR="004D18E0" w:rsidRPr="00BC0A19" w:rsidRDefault="004D18E0" w:rsidP="0070368A">
            <w:pPr>
              <w:jc w:val="center"/>
              <w:rPr>
                <w:rFonts w:ascii="Arial" w:hAnsi="Arial"/>
                <w:color w:val="000000"/>
                <w:sz w:val="15"/>
                <w:szCs w:val="15"/>
              </w:rPr>
            </w:pPr>
          </w:p>
        </w:tc>
        <w:tc>
          <w:tcPr>
            <w:tcW w:w="661" w:type="dxa"/>
            <w:tcBorders>
              <w:top w:val="nil"/>
              <w:left w:val="nil"/>
              <w:bottom w:val="nil"/>
              <w:right w:val="nil"/>
            </w:tcBorders>
          </w:tcPr>
          <w:p w14:paraId="55719405" w14:textId="77777777" w:rsidR="004D18E0" w:rsidRPr="00BC0A19" w:rsidRDefault="004D18E0" w:rsidP="0070368A">
            <w:pPr>
              <w:jc w:val="center"/>
              <w:rPr>
                <w:rFonts w:ascii="Arial" w:hAnsi="Arial"/>
                <w:color w:val="000000"/>
                <w:sz w:val="15"/>
                <w:szCs w:val="15"/>
              </w:rPr>
            </w:pPr>
          </w:p>
        </w:tc>
        <w:tc>
          <w:tcPr>
            <w:tcW w:w="993" w:type="dxa"/>
            <w:tcBorders>
              <w:top w:val="nil"/>
              <w:left w:val="nil"/>
              <w:bottom w:val="nil"/>
              <w:right w:val="nil"/>
            </w:tcBorders>
            <w:shd w:val="clear" w:color="000000" w:fill="D5DCE4"/>
            <w:noWrap/>
            <w:vAlign w:val="center"/>
            <w:hideMark/>
          </w:tcPr>
          <w:p w14:paraId="01485D49"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0.025</w:t>
            </w:r>
          </w:p>
        </w:tc>
        <w:tc>
          <w:tcPr>
            <w:tcW w:w="992" w:type="dxa"/>
            <w:tcBorders>
              <w:top w:val="nil"/>
              <w:left w:val="nil"/>
              <w:bottom w:val="nil"/>
              <w:right w:val="nil"/>
            </w:tcBorders>
            <w:shd w:val="clear" w:color="000000" w:fill="D5DCE4"/>
            <w:noWrap/>
            <w:vAlign w:val="center"/>
            <w:hideMark/>
          </w:tcPr>
          <w:p w14:paraId="502F6859"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0.07</w:t>
            </w:r>
          </w:p>
        </w:tc>
        <w:tc>
          <w:tcPr>
            <w:tcW w:w="709" w:type="dxa"/>
            <w:tcBorders>
              <w:top w:val="nil"/>
              <w:left w:val="nil"/>
              <w:bottom w:val="nil"/>
              <w:right w:val="nil"/>
            </w:tcBorders>
            <w:shd w:val="clear" w:color="auto" w:fill="auto"/>
            <w:noWrap/>
            <w:vAlign w:val="center"/>
            <w:hideMark/>
          </w:tcPr>
          <w:p w14:paraId="45C30C54"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0.075</w:t>
            </w:r>
          </w:p>
        </w:tc>
        <w:tc>
          <w:tcPr>
            <w:tcW w:w="1275" w:type="dxa"/>
            <w:tcBorders>
              <w:top w:val="nil"/>
              <w:left w:val="nil"/>
              <w:bottom w:val="nil"/>
              <w:right w:val="nil"/>
            </w:tcBorders>
            <w:shd w:val="clear" w:color="auto" w:fill="auto"/>
            <w:noWrap/>
            <w:vAlign w:val="center"/>
            <w:hideMark/>
          </w:tcPr>
          <w:p w14:paraId="66BCCA54"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0.27</w:t>
            </w:r>
          </w:p>
        </w:tc>
        <w:tc>
          <w:tcPr>
            <w:tcW w:w="1134" w:type="dxa"/>
            <w:tcBorders>
              <w:top w:val="nil"/>
              <w:left w:val="nil"/>
              <w:bottom w:val="nil"/>
              <w:right w:val="nil"/>
            </w:tcBorders>
            <w:shd w:val="clear" w:color="000000" w:fill="D5DCE4"/>
            <w:noWrap/>
            <w:vAlign w:val="center"/>
            <w:hideMark/>
          </w:tcPr>
          <w:p w14:paraId="73AAF438"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(0.0025)</w:t>
            </w:r>
          </w:p>
        </w:tc>
        <w:tc>
          <w:tcPr>
            <w:tcW w:w="1276" w:type="dxa"/>
            <w:tcBorders>
              <w:top w:val="nil"/>
              <w:left w:val="nil"/>
              <w:bottom w:val="nil"/>
              <w:right w:val="nil"/>
            </w:tcBorders>
            <w:shd w:val="clear" w:color="000000" w:fill="D5DCE4"/>
            <w:noWrap/>
            <w:vAlign w:val="center"/>
            <w:hideMark/>
          </w:tcPr>
          <w:p w14:paraId="00680448"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0.01</w:t>
            </w:r>
          </w:p>
        </w:tc>
        <w:tc>
          <w:tcPr>
            <w:tcW w:w="1134" w:type="dxa"/>
            <w:tcBorders>
              <w:top w:val="nil"/>
              <w:left w:val="nil"/>
              <w:bottom w:val="nil"/>
              <w:right w:val="nil"/>
            </w:tcBorders>
            <w:shd w:val="clear" w:color="auto" w:fill="auto"/>
            <w:noWrap/>
            <w:vAlign w:val="center"/>
            <w:hideMark/>
          </w:tcPr>
          <w:p w14:paraId="3178DC0E"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0.01</w:t>
            </w:r>
          </w:p>
        </w:tc>
        <w:tc>
          <w:tcPr>
            <w:tcW w:w="1134" w:type="dxa"/>
            <w:tcBorders>
              <w:top w:val="nil"/>
              <w:left w:val="nil"/>
              <w:bottom w:val="nil"/>
              <w:right w:val="nil"/>
            </w:tcBorders>
            <w:shd w:val="clear" w:color="auto" w:fill="auto"/>
            <w:noWrap/>
            <w:vAlign w:val="center"/>
            <w:hideMark/>
          </w:tcPr>
          <w:p w14:paraId="049ECAC6"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0.13</w:t>
            </w:r>
          </w:p>
        </w:tc>
      </w:tr>
      <w:tr w:rsidR="004D18E0" w:rsidRPr="00BC0A19" w14:paraId="74219D38" w14:textId="77777777" w:rsidTr="00041EE1">
        <w:trPr>
          <w:trHeight w:val="47"/>
        </w:trPr>
        <w:tc>
          <w:tcPr>
            <w:tcW w:w="993" w:type="dxa"/>
            <w:tcBorders>
              <w:top w:val="nil"/>
              <w:left w:val="nil"/>
              <w:bottom w:val="nil"/>
              <w:right w:val="nil"/>
            </w:tcBorders>
            <w:shd w:val="clear" w:color="auto" w:fill="auto"/>
            <w:noWrap/>
            <w:vAlign w:val="center"/>
            <w:hideMark/>
          </w:tcPr>
          <w:p w14:paraId="57243089"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Cadmium</w:t>
            </w:r>
          </w:p>
        </w:tc>
        <w:tc>
          <w:tcPr>
            <w:tcW w:w="614" w:type="dxa"/>
            <w:tcBorders>
              <w:top w:val="nil"/>
              <w:left w:val="nil"/>
              <w:bottom w:val="nil"/>
              <w:right w:val="nil"/>
            </w:tcBorders>
          </w:tcPr>
          <w:p w14:paraId="2266E2B2"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0.05</w:t>
            </w:r>
          </w:p>
        </w:tc>
        <w:tc>
          <w:tcPr>
            <w:tcW w:w="661" w:type="dxa"/>
            <w:tcBorders>
              <w:top w:val="nil"/>
              <w:left w:val="nil"/>
              <w:bottom w:val="nil"/>
              <w:right w:val="nil"/>
            </w:tcBorders>
          </w:tcPr>
          <w:p w14:paraId="601381DB"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0.5</w:t>
            </w:r>
          </w:p>
        </w:tc>
        <w:tc>
          <w:tcPr>
            <w:tcW w:w="993" w:type="dxa"/>
            <w:tcBorders>
              <w:top w:val="nil"/>
              <w:left w:val="nil"/>
              <w:bottom w:val="nil"/>
              <w:right w:val="nil"/>
            </w:tcBorders>
            <w:shd w:val="clear" w:color="000000" w:fill="D5DCE4"/>
            <w:noWrap/>
            <w:vAlign w:val="center"/>
            <w:hideMark/>
          </w:tcPr>
          <w:p w14:paraId="67699B6D"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(0.005)</w:t>
            </w:r>
          </w:p>
        </w:tc>
        <w:tc>
          <w:tcPr>
            <w:tcW w:w="992" w:type="dxa"/>
            <w:tcBorders>
              <w:top w:val="nil"/>
              <w:left w:val="nil"/>
              <w:bottom w:val="nil"/>
              <w:right w:val="nil"/>
            </w:tcBorders>
            <w:shd w:val="clear" w:color="000000" w:fill="D5DCE4"/>
            <w:noWrap/>
            <w:vAlign w:val="center"/>
            <w:hideMark/>
          </w:tcPr>
          <w:p w14:paraId="597CA1E0"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(0.005)</w:t>
            </w:r>
          </w:p>
        </w:tc>
        <w:tc>
          <w:tcPr>
            <w:tcW w:w="709" w:type="dxa"/>
            <w:tcBorders>
              <w:top w:val="nil"/>
              <w:left w:val="nil"/>
              <w:bottom w:val="nil"/>
              <w:right w:val="nil"/>
            </w:tcBorders>
            <w:shd w:val="clear" w:color="auto" w:fill="auto"/>
            <w:noWrap/>
            <w:vAlign w:val="center"/>
            <w:hideMark/>
          </w:tcPr>
          <w:p w14:paraId="1D5B0331"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0.205</w:t>
            </w:r>
          </w:p>
        </w:tc>
        <w:tc>
          <w:tcPr>
            <w:tcW w:w="1275" w:type="dxa"/>
            <w:tcBorders>
              <w:top w:val="nil"/>
              <w:left w:val="nil"/>
              <w:bottom w:val="nil"/>
              <w:right w:val="nil"/>
            </w:tcBorders>
            <w:shd w:val="clear" w:color="auto" w:fill="auto"/>
            <w:noWrap/>
            <w:vAlign w:val="center"/>
            <w:hideMark/>
          </w:tcPr>
          <w:p w14:paraId="47962918"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0.473</w:t>
            </w:r>
          </w:p>
        </w:tc>
        <w:tc>
          <w:tcPr>
            <w:tcW w:w="1134" w:type="dxa"/>
            <w:tcBorders>
              <w:top w:val="nil"/>
              <w:left w:val="nil"/>
              <w:bottom w:val="nil"/>
              <w:right w:val="nil"/>
            </w:tcBorders>
            <w:shd w:val="clear" w:color="000000" w:fill="D5DCE4"/>
            <w:noWrap/>
            <w:vAlign w:val="center"/>
            <w:hideMark/>
          </w:tcPr>
          <w:p w14:paraId="66B363B2"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(0.0015)</w:t>
            </w:r>
          </w:p>
        </w:tc>
        <w:tc>
          <w:tcPr>
            <w:tcW w:w="1276" w:type="dxa"/>
            <w:tcBorders>
              <w:top w:val="nil"/>
              <w:left w:val="nil"/>
              <w:bottom w:val="nil"/>
              <w:right w:val="nil"/>
            </w:tcBorders>
            <w:shd w:val="clear" w:color="000000" w:fill="D5DCE4"/>
            <w:noWrap/>
            <w:vAlign w:val="center"/>
            <w:hideMark/>
          </w:tcPr>
          <w:p w14:paraId="0B0485AC"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(0.0015)</w:t>
            </w:r>
          </w:p>
        </w:tc>
        <w:tc>
          <w:tcPr>
            <w:tcW w:w="1134" w:type="dxa"/>
            <w:tcBorders>
              <w:top w:val="nil"/>
              <w:left w:val="nil"/>
              <w:bottom w:val="nil"/>
              <w:right w:val="nil"/>
            </w:tcBorders>
            <w:shd w:val="clear" w:color="auto" w:fill="auto"/>
            <w:noWrap/>
            <w:vAlign w:val="center"/>
            <w:hideMark/>
          </w:tcPr>
          <w:p w14:paraId="4788E170"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0.01</w:t>
            </w:r>
          </w:p>
        </w:tc>
        <w:tc>
          <w:tcPr>
            <w:tcW w:w="1134" w:type="dxa"/>
            <w:tcBorders>
              <w:top w:val="nil"/>
              <w:left w:val="nil"/>
              <w:bottom w:val="nil"/>
              <w:right w:val="nil"/>
            </w:tcBorders>
            <w:shd w:val="clear" w:color="auto" w:fill="auto"/>
            <w:noWrap/>
            <w:vAlign w:val="center"/>
            <w:hideMark/>
          </w:tcPr>
          <w:p w14:paraId="693D6A3D"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0.01</w:t>
            </w:r>
          </w:p>
        </w:tc>
      </w:tr>
      <w:tr w:rsidR="004D18E0" w:rsidRPr="00BC0A19" w14:paraId="469B1D57" w14:textId="77777777" w:rsidTr="00041EE1">
        <w:trPr>
          <w:trHeight w:val="62"/>
        </w:trPr>
        <w:tc>
          <w:tcPr>
            <w:tcW w:w="993" w:type="dxa"/>
            <w:tcBorders>
              <w:top w:val="nil"/>
              <w:left w:val="nil"/>
              <w:bottom w:val="nil"/>
              <w:right w:val="nil"/>
            </w:tcBorders>
            <w:shd w:val="clear" w:color="auto" w:fill="auto"/>
            <w:noWrap/>
            <w:vAlign w:val="center"/>
            <w:hideMark/>
          </w:tcPr>
          <w:p w14:paraId="48995F3C"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Chromium</w:t>
            </w:r>
          </w:p>
        </w:tc>
        <w:tc>
          <w:tcPr>
            <w:tcW w:w="614" w:type="dxa"/>
            <w:tcBorders>
              <w:top w:val="nil"/>
              <w:left w:val="nil"/>
              <w:bottom w:val="nil"/>
              <w:right w:val="nil"/>
            </w:tcBorders>
          </w:tcPr>
          <w:p w14:paraId="3EE75E3C" w14:textId="77777777" w:rsidR="004D18E0" w:rsidRPr="00BC0A19" w:rsidRDefault="004D18E0" w:rsidP="0070368A">
            <w:pPr>
              <w:jc w:val="center"/>
              <w:rPr>
                <w:rFonts w:ascii="Arial" w:hAnsi="Arial"/>
                <w:color w:val="000000"/>
                <w:sz w:val="15"/>
                <w:szCs w:val="15"/>
              </w:rPr>
            </w:pPr>
          </w:p>
        </w:tc>
        <w:tc>
          <w:tcPr>
            <w:tcW w:w="661" w:type="dxa"/>
            <w:tcBorders>
              <w:top w:val="nil"/>
              <w:left w:val="nil"/>
              <w:bottom w:val="nil"/>
              <w:right w:val="nil"/>
            </w:tcBorders>
          </w:tcPr>
          <w:p w14:paraId="4D16EAAE" w14:textId="77777777" w:rsidR="004D18E0" w:rsidRPr="00BC0A19" w:rsidRDefault="004D18E0" w:rsidP="0070368A">
            <w:pPr>
              <w:jc w:val="center"/>
              <w:rPr>
                <w:rFonts w:ascii="Arial" w:hAnsi="Arial"/>
                <w:color w:val="000000"/>
                <w:sz w:val="15"/>
                <w:szCs w:val="15"/>
              </w:rPr>
            </w:pPr>
          </w:p>
        </w:tc>
        <w:tc>
          <w:tcPr>
            <w:tcW w:w="993" w:type="dxa"/>
            <w:tcBorders>
              <w:top w:val="nil"/>
              <w:left w:val="nil"/>
              <w:bottom w:val="nil"/>
              <w:right w:val="nil"/>
            </w:tcBorders>
            <w:shd w:val="clear" w:color="000000" w:fill="D5DCE4"/>
            <w:noWrap/>
            <w:vAlign w:val="center"/>
            <w:hideMark/>
          </w:tcPr>
          <w:p w14:paraId="0335E89C"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(0.025)</w:t>
            </w:r>
          </w:p>
        </w:tc>
        <w:tc>
          <w:tcPr>
            <w:tcW w:w="992" w:type="dxa"/>
            <w:tcBorders>
              <w:top w:val="nil"/>
              <w:left w:val="nil"/>
              <w:bottom w:val="nil"/>
              <w:right w:val="nil"/>
            </w:tcBorders>
            <w:shd w:val="clear" w:color="000000" w:fill="D5DCE4"/>
            <w:noWrap/>
            <w:vAlign w:val="center"/>
            <w:hideMark/>
          </w:tcPr>
          <w:p w14:paraId="46296284"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(0.025)</w:t>
            </w:r>
          </w:p>
        </w:tc>
        <w:tc>
          <w:tcPr>
            <w:tcW w:w="709" w:type="dxa"/>
            <w:tcBorders>
              <w:top w:val="nil"/>
              <w:left w:val="nil"/>
              <w:bottom w:val="nil"/>
              <w:right w:val="nil"/>
            </w:tcBorders>
            <w:shd w:val="clear" w:color="auto" w:fill="auto"/>
            <w:noWrap/>
            <w:vAlign w:val="center"/>
            <w:hideMark/>
          </w:tcPr>
          <w:p w14:paraId="3CB5447D"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0.025</w:t>
            </w:r>
          </w:p>
        </w:tc>
        <w:tc>
          <w:tcPr>
            <w:tcW w:w="1275" w:type="dxa"/>
            <w:tcBorders>
              <w:top w:val="nil"/>
              <w:left w:val="nil"/>
              <w:bottom w:val="nil"/>
              <w:right w:val="nil"/>
            </w:tcBorders>
            <w:shd w:val="clear" w:color="auto" w:fill="auto"/>
            <w:noWrap/>
            <w:vAlign w:val="center"/>
            <w:hideMark/>
          </w:tcPr>
          <w:p w14:paraId="1111346C"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0.025</w:t>
            </w:r>
          </w:p>
        </w:tc>
        <w:tc>
          <w:tcPr>
            <w:tcW w:w="1134" w:type="dxa"/>
            <w:tcBorders>
              <w:top w:val="nil"/>
              <w:left w:val="nil"/>
              <w:bottom w:val="nil"/>
              <w:right w:val="nil"/>
            </w:tcBorders>
            <w:shd w:val="clear" w:color="000000" w:fill="D5DCE4"/>
            <w:noWrap/>
            <w:vAlign w:val="center"/>
            <w:hideMark/>
          </w:tcPr>
          <w:p w14:paraId="5C14D1DF"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0.05</w:t>
            </w:r>
          </w:p>
        </w:tc>
        <w:tc>
          <w:tcPr>
            <w:tcW w:w="1276" w:type="dxa"/>
            <w:tcBorders>
              <w:top w:val="nil"/>
              <w:left w:val="nil"/>
              <w:bottom w:val="nil"/>
              <w:right w:val="nil"/>
            </w:tcBorders>
            <w:shd w:val="clear" w:color="000000" w:fill="D5DCE4"/>
            <w:noWrap/>
            <w:vAlign w:val="center"/>
            <w:hideMark/>
          </w:tcPr>
          <w:p w14:paraId="25C45285"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0.07</w:t>
            </w:r>
          </w:p>
        </w:tc>
        <w:tc>
          <w:tcPr>
            <w:tcW w:w="1134" w:type="dxa"/>
            <w:tcBorders>
              <w:top w:val="nil"/>
              <w:left w:val="nil"/>
              <w:bottom w:val="nil"/>
              <w:right w:val="nil"/>
            </w:tcBorders>
            <w:shd w:val="clear" w:color="auto" w:fill="auto"/>
            <w:noWrap/>
            <w:vAlign w:val="center"/>
            <w:hideMark/>
          </w:tcPr>
          <w:p w14:paraId="779E917A"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0.05</w:t>
            </w:r>
          </w:p>
        </w:tc>
        <w:tc>
          <w:tcPr>
            <w:tcW w:w="1134" w:type="dxa"/>
            <w:tcBorders>
              <w:top w:val="nil"/>
              <w:left w:val="nil"/>
              <w:bottom w:val="nil"/>
              <w:right w:val="nil"/>
            </w:tcBorders>
            <w:shd w:val="clear" w:color="auto" w:fill="auto"/>
            <w:noWrap/>
            <w:vAlign w:val="center"/>
            <w:hideMark/>
          </w:tcPr>
          <w:p w14:paraId="193FFB5F"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0.09</w:t>
            </w:r>
          </w:p>
        </w:tc>
      </w:tr>
      <w:tr w:rsidR="004D18E0" w:rsidRPr="00BC0A19" w14:paraId="255D1908" w14:textId="77777777" w:rsidTr="00041EE1">
        <w:trPr>
          <w:trHeight w:val="62"/>
        </w:trPr>
        <w:tc>
          <w:tcPr>
            <w:tcW w:w="993" w:type="dxa"/>
            <w:tcBorders>
              <w:top w:val="nil"/>
              <w:left w:val="nil"/>
              <w:bottom w:val="nil"/>
              <w:right w:val="nil"/>
            </w:tcBorders>
            <w:shd w:val="clear" w:color="auto" w:fill="auto"/>
            <w:noWrap/>
            <w:vAlign w:val="center"/>
            <w:hideMark/>
          </w:tcPr>
          <w:p w14:paraId="47C1646D"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Copper</w:t>
            </w:r>
          </w:p>
        </w:tc>
        <w:tc>
          <w:tcPr>
            <w:tcW w:w="614" w:type="dxa"/>
            <w:tcBorders>
              <w:top w:val="nil"/>
              <w:left w:val="nil"/>
              <w:bottom w:val="nil"/>
              <w:right w:val="nil"/>
            </w:tcBorders>
          </w:tcPr>
          <w:p w14:paraId="613690EC" w14:textId="77777777" w:rsidR="004D18E0" w:rsidRPr="00BC0A19" w:rsidRDefault="004D18E0" w:rsidP="0070368A">
            <w:pPr>
              <w:jc w:val="center"/>
              <w:rPr>
                <w:rFonts w:ascii="Arial" w:hAnsi="Arial"/>
                <w:color w:val="000000"/>
                <w:sz w:val="15"/>
                <w:szCs w:val="15"/>
              </w:rPr>
            </w:pPr>
          </w:p>
        </w:tc>
        <w:tc>
          <w:tcPr>
            <w:tcW w:w="661" w:type="dxa"/>
            <w:tcBorders>
              <w:top w:val="nil"/>
              <w:left w:val="nil"/>
              <w:bottom w:val="nil"/>
              <w:right w:val="nil"/>
            </w:tcBorders>
          </w:tcPr>
          <w:p w14:paraId="05629A16" w14:textId="77777777" w:rsidR="004D18E0" w:rsidRPr="00BC0A19" w:rsidRDefault="004D18E0" w:rsidP="0070368A">
            <w:pPr>
              <w:jc w:val="center"/>
              <w:rPr>
                <w:rFonts w:ascii="Arial" w:hAnsi="Arial"/>
                <w:color w:val="000000"/>
                <w:sz w:val="15"/>
                <w:szCs w:val="15"/>
              </w:rPr>
            </w:pPr>
          </w:p>
        </w:tc>
        <w:tc>
          <w:tcPr>
            <w:tcW w:w="993" w:type="dxa"/>
            <w:tcBorders>
              <w:top w:val="nil"/>
              <w:left w:val="nil"/>
              <w:bottom w:val="nil"/>
              <w:right w:val="nil"/>
            </w:tcBorders>
            <w:shd w:val="clear" w:color="000000" w:fill="D5DCE4"/>
            <w:noWrap/>
            <w:vAlign w:val="center"/>
            <w:hideMark/>
          </w:tcPr>
          <w:p w14:paraId="32BDE422"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6.1</w:t>
            </w:r>
          </w:p>
        </w:tc>
        <w:tc>
          <w:tcPr>
            <w:tcW w:w="992" w:type="dxa"/>
            <w:tcBorders>
              <w:top w:val="nil"/>
              <w:left w:val="nil"/>
              <w:bottom w:val="nil"/>
              <w:right w:val="nil"/>
            </w:tcBorders>
            <w:shd w:val="clear" w:color="000000" w:fill="D5DCE4"/>
            <w:noWrap/>
            <w:vAlign w:val="center"/>
            <w:hideMark/>
          </w:tcPr>
          <w:p w14:paraId="39E5B149"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7.5</w:t>
            </w:r>
          </w:p>
        </w:tc>
        <w:tc>
          <w:tcPr>
            <w:tcW w:w="709" w:type="dxa"/>
            <w:tcBorders>
              <w:top w:val="nil"/>
              <w:left w:val="nil"/>
              <w:bottom w:val="nil"/>
              <w:right w:val="nil"/>
            </w:tcBorders>
            <w:shd w:val="clear" w:color="auto" w:fill="auto"/>
            <w:noWrap/>
            <w:vAlign w:val="center"/>
            <w:hideMark/>
          </w:tcPr>
          <w:p w14:paraId="3BCF1B8E"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21</w:t>
            </w:r>
          </w:p>
        </w:tc>
        <w:tc>
          <w:tcPr>
            <w:tcW w:w="1275" w:type="dxa"/>
            <w:tcBorders>
              <w:top w:val="nil"/>
              <w:left w:val="nil"/>
              <w:bottom w:val="nil"/>
              <w:right w:val="nil"/>
            </w:tcBorders>
            <w:shd w:val="clear" w:color="auto" w:fill="auto"/>
            <w:noWrap/>
            <w:vAlign w:val="center"/>
            <w:hideMark/>
          </w:tcPr>
          <w:p w14:paraId="1360EEDB"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35.18</w:t>
            </w:r>
          </w:p>
        </w:tc>
        <w:tc>
          <w:tcPr>
            <w:tcW w:w="1134" w:type="dxa"/>
            <w:tcBorders>
              <w:top w:val="nil"/>
              <w:left w:val="nil"/>
              <w:bottom w:val="nil"/>
              <w:right w:val="nil"/>
            </w:tcBorders>
            <w:shd w:val="clear" w:color="000000" w:fill="D5DCE4"/>
            <w:noWrap/>
            <w:vAlign w:val="center"/>
            <w:hideMark/>
          </w:tcPr>
          <w:p w14:paraId="08B7F9FD"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0.25</w:t>
            </w:r>
          </w:p>
        </w:tc>
        <w:tc>
          <w:tcPr>
            <w:tcW w:w="1276" w:type="dxa"/>
            <w:tcBorders>
              <w:top w:val="nil"/>
              <w:left w:val="nil"/>
              <w:bottom w:val="nil"/>
              <w:right w:val="nil"/>
            </w:tcBorders>
            <w:shd w:val="clear" w:color="000000" w:fill="D5DCE4"/>
            <w:noWrap/>
            <w:vAlign w:val="center"/>
            <w:hideMark/>
          </w:tcPr>
          <w:p w14:paraId="14FE1BC1"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0.33</w:t>
            </w:r>
          </w:p>
        </w:tc>
        <w:tc>
          <w:tcPr>
            <w:tcW w:w="1134" w:type="dxa"/>
            <w:tcBorders>
              <w:top w:val="nil"/>
              <w:left w:val="nil"/>
              <w:bottom w:val="nil"/>
              <w:right w:val="nil"/>
            </w:tcBorders>
            <w:shd w:val="clear" w:color="auto" w:fill="auto"/>
            <w:noWrap/>
            <w:vAlign w:val="center"/>
            <w:hideMark/>
          </w:tcPr>
          <w:p w14:paraId="737B8178"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2.79</w:t>
            </w:r>
          </w:p>
        </w:tc>
        <w:tc>
          <w:tcPr>
            <w:tcW w:w="1134" w:type="dxa"/>
            <w:tcBorders>
              <w:top w:val="nil"/>
              <w:left w:val="nil"/>
              <w:bottom w:val="nil"/>
              <w:right w:val="nil"/>
            </w:tcBorders>
            <w:shd w:val="clear" w:color="auto" w:fill="auto"/>
            <w:noWrap/>
            <w:vAlign w:val="center"/>
            <w:hideMark/>
          </w:tcPr>
          <w:p w14:paraId="6422C7EF"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3.6</w:t>
            </w:r>
          </w:p>
        </w:tc>
      </w:tr>
      <w:tr w:rsidR="004D18E0" w:rsidRPr="00BC0A19" w14:paraId="0730AAB4" w14:textId="77777777" w:rsidTr="00041EE1">
        <w:trPr>
          <w:trHeight w:val="62"/>
        </w:trPr>
        <w:tc>
          <w:tcPr>
            <w:tcW w:w="993" w:type="dxa"/>
            <w:tcBorders>
              <w:top w:val="nil"/>
              <w:left w:val="nil"/>
              <w:bottom w:val="nil"/>
              <w:right w:val="nil"/>
            </w:tcBorders>
            <w:shd w:val="clear" w:color="auto" w:fill="auto"/>
            <w:noWrap/>
            <w:vAlign w:val="center"/>
            <w:hideMark/>
          </w:tcPr>
          <w:p w14:paraId="7F960F62"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Lead</w:t>
            </w:r>
          </w:p>
        </w:tc>
        <w:tc>
          <w:tcPr>
            <w:tcW w:w="614" w:type="dxa"/>
            <w:tcBorders>
              <w:top w:val="nil"/>
              <w:left w:val="nil"/>
              <w:bottom w:val="nil"/>
              <w:right w:val="nil"/>
            </w:tcBorders>
          </w:tcPr>
          <w:p w14:paraId="3AD92DBE"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0.1</w:t>
            </w:r>
          </w:p>
        </w:tc>
        <w:tc>
          <w:tcPr>
            <w:tcW w:w="661" w:type="dxa"/>
            <w:tcBorders>
              <w:top w:val="nil"/>
              <w:left w:val="nil"/>
              <w:bottom w:val="nil"/>
              <w:right w:val="nil"/>
            </w:tcBorders>
          </w:tcPr>
          <w:p w14:paraId="38BCB7B4"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0.5</w:t>
            </w:r>
          </w:p>
        </w:tc>
        <w:tc>
          <w:tcPr>
            <w:tcW w:w="993" w:type="dxa"/>
            <w:tcBorders>
              <w:top w:val="nil"/>
              <w:left w:val="nil"/>
              <w:bottom w:val="nil"/>
              <w:right w:val="nil"/>
            </w:tcBorders>
            <w:shd w:val="clear" w:color="000000" w:fill="D5DCE4"/>
            <w:noWrap/>
            <w:vAlign w:val="center"/>
            <w:hideMark/>
          </w:tcPr>
          <w:p w14:paraId="3AE03A86"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0.005</w:t>
            </w:r>
          </w:p>
        </w:tc>
        <w:tc>
          <w:tcPr>
            <w:tcW w:w="992" w:type="dxa"/>
            <w:tcBorders>
              <w:top w:val="nil"/>
              <w:left w:val="nil"/>
              <w:bottom w:val="nil"/>
              <w:right w:val="nil"/>
            </w:tcBorders>
            <w:shd w:val="clear" w:color="000000" w:fill="D5DCE4"/>
            <w:noWrap/>
            <w:vAlign w:val="center"/>
            <w:hideMark/>
          </w:tcPr>
          <w:p w14:paraId="4732011E"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0.033</w:t>
            </w:r>
          </w:p>
        </w:tc>
        <w:tc>
          <w:tcPr>
            <w:tcW w:w="709" w:type="dxa"/>
            <w:tcBorders>
              <w:top w:val="nil"/>
              <w:left w:val="nil"/>
              <w:bottom w:val="nil"/>
              <w:right w:val="nil"/>
            </w:tcBorders>
            <w:shd w:val="clear" w:color="auto" w:fill="auto"/>
            <w:noWrap/>
            <w:vAlign w:val="center"/>
            <w:hideMark/>
          </w:tcPr>
          <w:p w14:paraId="6461BEF4"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0.09</w:t>
            </w:r>
          </w:p>
        </w:tc>
        <w:tc>
          <w:tcPr>
            <w:tcW w:w="1275" w:type="dxa"/>
            <w:tcBorders>
              <w:top w:val="nil"/>
              <w:left w:val="nil"/>
              <w:bottom w:val="nil"/>
              <w:right w:val="nil"/>
            </w:tcBorders>
            <w:shd w:val="clear" w:color="auto" w:fill="auto"/>
            <w:noWrap/>
            <w:vAlign w:val="center"/>
            <w:hideMark/>
          </w:tcPr>
          <w:p w14:paraId="14E7756E"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0.322</w:t>
            </w:r>
          </w:p>
        </w:tc>
        <w:tc>
          <w:tcPr>
            <w:tcW w:w="1134" w:type="dxa"/>
            <w:tcBorders>
              <w:top w:val="nil"/>
              <w:left w:val="nil"/>
              <w:bottom w:val="nil"/>
              <w:right w:val="nil"/>
            </w:tcBorders>
            <w:shd w:val="clear" w:color="000000" w:fill="D5DCE4"/>
            <w:noWrap/>
            <w:vAlign w:val="center"/>
            <w:hideMark/>
          </w:tcPr>
          <w:p w14:paraId="0E90A7D3"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(0.0040)</w:t>
            </w:r>
          </w:p>
        </w:tc>
        <w:tc>
          <w:tcPr>
            <w:tcW w:w="1276" w:type="dxa"/>
            <w:tcBorders>
              <w:top w:val="nil"/>
              <w:left w:val="nil"/>
              <w:bottom w:val="nil"/>
              <w:right w:val="nil"/>
            </w:tcBorders>
            <w:shd w:val="clear" w:color="000000" w:fill="D5DCE4"/>
            <w:noWrap/>
            <w:vAlign w:val="center"/>
            <w:hideMark/>
          </w:tcPr>
          <w:p w14:paraId="5E82F93B"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(0.0040)</w:t>
            </w:r>
          </w:p>
        </w:tc>
        <w:tc>
          <w:tcPr>
            <w:tcW w:w="1134" w:type="dxa"/>
            <w:tcBorders>
              <w:top w:val="nil"/>
              <w:left w:val="nil"/>
              <w:bottom w:val="nil"/>
              <w:right w:val="nil"/>
            </w:tcBorders>
            <w:shd w:val="clear" w:color="auto" w:fill="auto"/>
            <w:noWrap/>
            <w:vAlign w:val="center"/>
            <w:hideMark/>
          </w:tcPr>
          <w:p w14:paraId="61A03362"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(0.0040)</w:t>
            </w:r>
          </w:p>
        </w:tc>
        <w:tc>
          <w:tcPr>
            <w:tcW w:w="1134" w:type="dxa"/>
            <w:tcBorders>
              <w:top w:val="nil"/>
              <w:left w:val="nil"/>
              <w:bottom w:val="nil"/>
              <w:right w:val="nil"/>
            </w:tcBorders>
            <w:shd w:val="clear" w:color="auto" w:fill="auto"/>
            <w:noWrap/>
            <w:vAlign w:val="center"/>
            <w:hideMark/>
          </w:tcPr>
          <w:p w14:paraId="59E02678"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(0.0040)</w:t>
            </w:r>
          </w:p>
        </w:tc>
      </w:tr>
      <w:tr w:rsidR="004D18E0" w:rsidRPr="00BC0A19" w14:paraId="58047E86" w14:textId="77777777" w:rsidTr="00041EE1">
        <w:trPr>
          <w:trHeight w:val="62"/>
        </w:trPr>
        <w:tc>
          <w:tcPr>
            <w:tcW w:w="993" w:type="dxa"/>
            <w:tcBorders>
              <w:top w:val="nil"/>
              <w:left w:val="nil"/>
              <w:bottom w:val="nil"/>
              <w:right w:val="nil"/>
            </w:tcBorders>
            <w:shd w:val="clear" w:color="auto" w:fill="auto"/>
            <w:noWrap/>
            <w:vAlign w:val="center"/>
            <w:hideMark/>
          </w:tcPr>
          <w:p w14:paraId="71117E73"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Mercury</w:t>
            </w:r>
          </w:p>
        </w:tc>
        <w:tc>
          <w:tcPr>
            <w:tcW w:w="614" w:type="dxa"/>
            <w:tcBorders>
              <w:top w:val="nil"/>
              <w:left w:val="nil"/>
              <w:bottom w:val="nil"/>
              <w:right w:val="nil"/>
            </w:tcBorders>
          </w:tcPr>
          <w:p w14:paraId="472CF16C" w14:textId="77777777" w:rsidR="004D18E0" w:rsidRPr="00BC0A19" w:rsidRDefault="004D18E0" w:rsidP="0070368A">
            <w:pPr>
              <w:jc w:val="center"/>
              <w:rPr>
                <w:rFonts w:ascii="Arial" w:hAnsi="Arial"/>
                <w:color w:val="000000"/>
                <w:sz w:val="15"/>
                <w:szCs w:val="15"/>
              </w:rPr>
            </w:pPr>
          </w:p>
        </w:tc>
        <w:tc>
          <w:tcPr>
            <w:tcW w:w="661" w:type="dxa"/>
            <w:tcBorders>
              <w:top w:val="nil"/>
              <w:left w:val="nil"/>
              <w:bottom w:val="nil"/>
              <w:right w:val="nil"/>
            </w:tcBorders>
          </w:tcPr>
          <w:p w14:paraId="22368897" w14:textId="77777777" w:rsidR="004D18E0" w:rsidRPr="00BC0A19" w:rsidRDefault="004D18E0" w:rsidP="0070368A">
            <w:pPr>
              <w:jc w:val="center"/>
              <w:rPr>
                <w:rFonts w:ascii="Arial" w:hAnsi="Arial"/>
                <w:color w:val="000000"/>
                <w:sz w:val="15"/>
                <w:szCs w:val="15"/>
              </w:rPr>
            </w:pPr>
          </w:p>
        </w:tc>
        <w:tc>
          <w:tcPr>
            <w:tcW w:w="993" w:type="dxa"/>
            <w:tcBorders>
              <w:top w:val="nil"/>
              <w:left w:val="nil"/>
              <w:bottom w:val="nil"/>
              <w:right w:val="nil"/>
            </w:tcBorders>
            <w:shd w:val="clear" w:color="000000" w:fill="D5DCE4"/>
            <w:noWrap/>
            <w:vAlign w:val="center"/>
            <w:hideMark/>
          </w:tcPr>
          <w:p w14:paraId="2122BFDB"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0.03</w:t>
            </w:r>
          </w:p>
        </w:tc>
        <w:tc>
          <w:tcPr>
            <w:tcW w:w="992" w:type="dxa"/>
            <w:tcBorders>
              <w:top w:val="nil"/>
              <w:left w:val="nil"/>
              <w:bottom w:val="nil"/>
              <w:right w:val="nil"/>
            </w:tcBorders>
            <w:shd w:val="clear" w:color="000000" w:fill="D5DCE4"/>
            <w:noWrap/>
            <w:vAlign w:val="center"/>
            <w:hideMark/>
          </w:tcPr>
          <w:p w14:paraId="4D26F479"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0.093</w:t>
            </w:r>
          </w:p>
        </w:tc>
        <w:tc>
          <w:tcPr>
            <w:tcW w:w="709" w:type="dxa"/>
            <w:tcBorders>
              <w:top w:val="nil"/>
              <w:left w:val="nil"/>
              <w:bottom w:val="nil"/>
              <w:right w:val="nil"/>
            </w:tcBorders>
            <w:shd w:val="clear" w:color="auto" w:fill="auto"/>
            <w:noWrap/>
            <w:vAlign w:val="center"/>
            <w:hideMark/>
          </w:tcPr>
          <w:p w14:paraId="6A7D9D79"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0.105</w:t>
            </w:r>
          </w:p>
        </w:tc>
        <w:tc>
          <w:tcPr>
            <w:tcW w:w="1275" w:type="dxa"/>
            <w:tcBorders>
              <w:top w:val="nil"/>
              <w:left w:val="nil"/>
              <w:bottom w:val="nil"/>
              <w:right w:val="nil"/>
            </w:tcBorders>
            <w:shd w:val="clear" w:color="auto" w:fill="auto"/>
            <w:noWrap/>
            <w:vAlign w:val="center"/>
            <w:hideMark/>
          </w:tcPr>
          <w:p w14:paraId="700F0ACA"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0.472</w:t>
            </w:r>
          </w:p>
        </w:tc>
        <w:tc>
          <w:tcPr>
            <w:tcW w:w="1134" w:type="dxa"/>
            <w:tcBorders>
              <w:top w:val="nil"/>
              <w:left w:val="nil"/>
              <w:bottom w:val="nil"/>
              <w:right w:val="nil"/>
            </w:tcBorders>
            <w:shd w:val="clear" w:color="000000" w:fill="D5DCE4"/>
            <w:noWrap/>
            <w:vAlign w:val="center"/>
            <w:hideMark/>
          </w:tcPr>
          <w:p w14:paraId="0C1DCD70"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(0.0005)</w:t>
            </w:r>
          </w:p>
        </w:tc>
        <w:tc>
          <w:tcPr>
            <w:tcW w:w="1276" w:type="dxa"/>
            <w:tcBorders>
              <w:top w:val="nil"/>
              <w:left w:val="nil"/>
              <w:bottom w:val="nil"/>
              <w:right w:val="nil"/>
            </w:tcBorders>
            <w:shd w:val="clear" w:color="000000" w:fill="D5DCE4"/>
            <w:noWrap/>
            <w:vAlign w:val="center"/>
            <w:hideMark/>
          </w:tcPr>
          <w:p w14:paraId="6E5F0472"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(0.0005)</w:t>
            </w:r>
          </w:p>
        </w:tc>
        <w:tc>
          <w:tcPr>
            <w:tcW w:w="1134" w:type="dxa"/>
            <w:tcBorders>
              <w:top w:val="nil"/>
              <w:left w:val="nil"/>
              <w:bottom w:val="nil"/>
              <w:right w:val="nil"/>
            </w:tcBorders>
            <w:shd w:val="clear" w:color="auto" w:fill="auto"/>
            <w:noWrap/>
            <w:vAlign w:val="center"/>
            <w:hideMark/>
          </w:tcPr>
          <w:p w14:paraId="4E3A838C"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(0.0005)</w:t>
            </w:r>
          </w:p>
        </w:tc>
        <w:tc>
          <w:tcPr>
            <w:tcW w:w="1134" w:type="dxa"/>
            <w:tcBorders>
              <w:top w:val="nil"/>
              <w:left w:val="nil"/>
              <w:bottom w:val="nil"/>
              <w:right w:val="nil"/>
            </w:tcBorders>
            <w:shd w:val="clear" w:color="auto" w:fill="auto"/>
            <w:noWrap/>
            <w:vAlign w:val="center"/>
            <w:hideMark/>
          </w:tcPr>
          <w:p w14:paraId="35D56EB2"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nd</w:t>
            </w:r>
            <w:proofErr w:type="spellEnd"/>
            <w:r w:rsidRPr="00BC0A19">
              <w:rPr>
                <w:rFonts w:ascii="Arial" w:hAnsi="Arial"/>
                <w:color w:val="000000"/>
                <w:sz w:val="15"/>
                <w:szCs w:val="15"/>
              </w:rPr>
              <w:t xml:space="preserve"> (0.0005)</w:t>
            </w:r>
          </w:p>
        </w:tc>
      </w:tr>
      <w:tr w:rsidR="004D18E0" w:rsidRPr="00BC0A19" w14:paraId="7C9D6BF5" w14:textId="77777777" w:rsidTr="00041EE1">
        <w:trPr>
          <w:trHeight w:val="62"/>
        </w:trPr>
        <w:tc>
          <w:tcPr>
            <w:tcW w:w="993" w:type="dxa"/>
            <w:tcBorders>
              <w:top w:val="nil"/>
              <w:left w:val="nil"/>
              <w:bottom w:val="nil"/>
              <w:right w:val="nil"/>
            </w:tcBorders>
            <w:shd w:val="clear" w:color="auto" w:fill="auto"/>
            <w:noWrap/>
            <w:vAlign w:val="center"/>
            <w:hideMark/>
          </w:tcPr>
          <w:p w14:paraId="3F76CF0B"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Selenium</w:t>
            </w:r>
          </w:p>
        </w:tc>
        <w:tc>
          <w:tcPr>
            <w:tcW w:w="614" w:type="dxa"/>
            <w:tcBorders>
              <w:top w:val="nil"/>
              <w:left w:val="nil"/>
              <w:bottom w:val="nil"/>
              <w:right w:val="nil"/>
            </w:tcBorders>
          </w:tcPr>
          <w:p w14:paraId="4BF1B635" w14:textId="77777777" w:rsidR="004D18E0" w:rsidRPr="00BC0A19" w:rsidRDefault="004D18E0" w:rsidP="0070368A">
            <w:pPr>
              <w:jc w:val="center"/>
              <w:rPr>
                <w:rFonts w:ascii="Arial" w:hAnsi="Arial"/>
                <w:color w:val="000000"/>
                <w:sz w:val="15"/>
                <w:szCs w:val="15"/>
              </w:rPr>
            </w:pPr>
          </w:p>
        </w:tc>
        <w:tc>
          <w:tcPr>
            <w:tcW w:w="661" w:type="dxa"/>
            <w:tcBorders>
              <w:top w:val="nil"/>
              <w:left w:val="nil"/>
              <w:bottom w:val="nil"/>
              <w:right w:val="nil"/>
            </w:tcBorders>
          </w:tcPr>
          <w:p w14:paraId="12E7E799" w14:textId="77777777" w:rsidR="004D18E0" w:rsidRPr="00BC0A19" w:rsidRDefault="004D18E0" w:rsidP="0070368A">
            <w:pPr>
              <w:jc w:val="center"/>
              <w:rPr>
                <w:rFonts w:ascii="Arial" w:hAnsi="Arial"/>
                <w:color w:val="000000"/>
                <w:sz w:val="15"/>
                <w:szCs w:val="15"/>
              </w:rPr>
            </w:pPr>
          </w:p>
        </w:tc>
        <w:tc>
          <w:tcPr>
            <w:tcW w:w="993" w:type="dxa"/>
            <w:tcBorders>
              <w:top w:val="nil"/>
              <w:left w:val="nil"/>
              <w:bottom w:val="nil"/>
              <w:right w:val="nil"/>
            </w:tcBorders>
            <w:shd w:val="clear" w:color="000000" w:fill="D5DCE4"/>
            <w:noWrap/>
            <w:vAlign w:val="center"/>
            <w:hideMark/>
          </w:tcPr>
          <w:p w14:paraId="65AC91FA"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0.425</w:t>
            </w:r>
          </w:p>
        </w:tc>
        <w:tc>
          <w:tcPr>
            <w:tcW w:w="992" w:type="dxa"/>
            <w:tcBorders>
              <w:top w:val="nil"/>
              <w:left w:val="nil"/>
              <w:bottom w:val="nil"/>
              <w:right w:val="nil"/>
            </w:tcBorders>
            <w:shd w:val="clear" w:color="000000" w:fill="D5DCE4"/>
            <w:noWrap/>
            <w:vAlign w:val="center"/>
            <w:hideMark/>
          </w:tcPr>
          <w:p w14:paraId="286902E8"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0.56</w:t>
            </w:r>
          </w:p>
        </w:tc>
        <w:tc>
          <w:tcPr>
            <w:tcW w:w="709" w:type="dxa"/>
            <w:tcBorders>
              <w:top w:val="nil"/>
              <w:left w:val="nil"/>
              <w:bottom w:val="nil"/>
              <w:right w:val="nil"/>
            </w:tcBorders>
            <w:shd w:val="clear" w:color="auto" w:fill="auto"/>
            <w:noWrap/>
            <w:vAlign w:val="center"/>
            <w:hideMark/>
          </w:tcPr>
          <w:p w14:paraId="5FA14503"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1.33</w:t>
            </w:r>
          </w:p>
        </w:tc>
        <w:tc>
          <w:tcPr>
            <w:tcW w:w="1275" w:type="dxa"/>
            <w:tcBorders>
              <w:top w:val="nil"/>
              <w:left w:val="nil"/>
              <w:bottom w:val="nil"/>
              <w:right w:val="nil"/>
            </w:tcBorders>
            <w:shd w:val="clear" w:color="auto" w:fill="auto"/>
            <w:noWrap/>
            <w:vAlign w:val="center"/>
            <w:hideMark/>
          </w:tcPr>
          <w:p w14:paraId="48E16FE9"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2</w:t>
            </w:r>
          </w:p>
        </w:tc>
        <w:tc>
          <w:tcPr>
            <w:tcW w:w="1134" w:type="dxa"/>
            <w:tcBorders>
              <w:top w:val="nil"/>
              <w:left w:val="nil"/>
              <w:bottom w:val="nil"/>
              <w:right w:val="nil"/>
            </w:tcBorders>
            <w:shd w:val="clear" w:color="000000" w:fill="D5DCE4"/>
            <w:noWrap/>
            <w:vAlign w:val="center"/>
            <w:hideMark/>
          </w:tcPr>
          <w:p w14:paraId="0B8F2619"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0.21</w:t>
            </w:r>
          </w:p>
        </w:tc>
        <w:tc>
          <w:tcPr>
            <w:tcW w:w="1276" w:type="dxa"/>
            <w:tcBorders>
              <w:top w:val="nil"/>
              <w:left w:val="nil"/>
              <w:bottom w:val="nil"/>
              <w:right w:val="nil"/>
            </w:tcBorders>
            <w:shd w:val="clear" w:color="000000" w:fill="D5DCE4"/>
            <w:noWrap/>
            <w:vAlign w:val="center"/>
            <w:hideMark/>
          </w:tcPr>
          <w:p w14:paraId="0DB54881"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0.36</w:t>
            </w:r>
          </w:p>
        </w:tc>
        <w:tc>
          <w:tcPr>
            <w:tcW w:w="1134" w:type="dxa"/>
            <w:tcBorders>
              <w:top w:val="nil"/>
              <w:left w:val="nil"/>
              <w:bottom w:val="nil"/>
              <w:right w:val="nil"/>
            </w:tcBorders>
            <w:shd w:val="clear" w:color="auto" w:fill="auto"/>
            <w:noWrap/>
            <w:vAlign w:val="center"/>
            <w:hideMark/>
          </w:tcPr>
          <w:p w14:paraId="7EAB31E9"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0.6</w:t>
            </w:r>
          </w:p>
        </w:tc>
        <w:tc>
          <w:tcPr>
            <w:tcW w:w="1134" w:type="dxa"/>
            <w:tcBorders>
              <w:top w:val="nil"/>
              <w:left w:val="nil"/>
              <w:bottom w:val="nil"/>
              <w:right w:val="nil"/>
            </w:tcBorders>
            <w:shd w:val="clear" w:color="auto" w:fill="auto"/>
            <w:noWrap/>
            <w:vAlign w:val="center"/>
            <w:hideMark/>
          </w:tcPr>
          <w:p w14:paraId="08A6A891"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0.76</w:t>
            </w:r>
          </w:p>
        </w:tc>
      </w:tr>
      <w:tr w:rsidR="004D18E0" w:rsidRPr="00BC0A19" w14:paraId="407D2289" w14:textId="77777777" w:rsidTr="00041EE1">
        <w:trPr>
          <w:trHeight w:val="62"/>
        </w:trPr>
        <w:tc>
          <w:tcPr>
            <w:tcW w:w="993" w:type="dxa"/>
            <w:tcBorders>
              <w:top w:val="nil"/>
              <w:left w:val="nil"/>
              <w:bottom w:val="single" w:sz="4" w:space="0" w:color="auto"/>
              <w:right w:val="nil"/>
            </w:tcBorders>
            <w:shd w:val="clear" w:color="auto" w:fill="auto"/>
            <w:noWrap/>
            <w:vAlign w:val="center"/>
            <w:hideMark/>
          </w:tcPr>
          <w:p w14:paraId="3E43996E"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Zinc</w:t>
            </w:r>
          </w:p>
        </w:tc>
        <w:tc>
          <w:tcPr>
            <w:tcW w:w="614" w:type="dxa"/>
            <w:tcBorders>
              <w:top w:val="nil"/>
              <w:left w:val="nil"/>
              <w:bottom w:val="single" w:sz="4" w:space="0" w:color="auto"/>
              <w:right w:val="nil"/>
            </w:tcBorders>
          </w:tcPr>
          <w:p w14:paraId="4261DB84" w14:textId="77777777" w:rsidR="004D18E0" w:rsidRPr="00BC0A19" w:rsidRDefault="004D18E0" w:rsidP="0070368A">
            <w:pPr>
              <w:jc w:val="center"/>
              <w:rPr>
                <w:rFonts w:ascii="Arial" w:hAnsi="Arial"/>
                <w:color w:val="000000"/>
                <w:sz w:val="15"/>
                <w:szCs w:val="15"/>
              </w:rPr>
            </w:pPr>
          </w:p>
        </w:tc>
        <w:tc>
          <w:tcPr>
            <w:tcW w:w="661" w:type="dxa"/>
            <w:tcBorders>
              <w:top w:val="nil"/>
              <w:left w:val="nil"/>
              <w:bottom w:val="single" w:sz="4" w:space="0" w:color="auto"/>
              <w:right w:val="nil"/>
            </w:tcBorders>
          </w:tcPr>
          <w:p w14:paraId="3F2F2687" w14:textId="77777777" w:rsidR="004D18E0" w:rsidRPr="00BC0A19" w:rsidRDefault="004D18E0" w:rsidP="0070368A">
            <w:pPr>
              <w:jc w:val="center"/>
              <w:rPr>
                <w:rFonts w:ascii="Arial" w:hAnsi="Arial"/>
                <w:color w:val="000000"/>
                <w:sz w:val="15"/>
                <w:szCs w:val="15"/>
              </w:rPr>
            </w:pPr>
          </w:p>
        </w:tc>
        <w:tc>
          <w:tcPr>
            <w:tcW w:w="993" w:type="dxa"/>
            <w:tcBorders>
              <w:top w:val="nil"/>
              <w:left w:val="nil"/>
              <w:bottom w:val="single" w:sz="4" w:space="0" w:color="auto"/>
              <w:right w:val="nil"/>
            </w:tcBorders>
            <w:shd w:val="clear" w:color="000000" w:fill="D5DCE4"/>
            <w:noWrap/>
            <w:vAlign w:val="center"/>
            <w:hideMark/>
          </w:tcPr>
          <w:p w14:paraId="0EE5DF24"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11</w:t>
            </w:r>
          </w:p>
        </w:tc>
        <w:tc>
          <w:tcPr>
            <w:tcW w:w="992" w:type="dxa"/>
            <w:tcBorders>
              <w:top w:val="nil"/>
              <w:left w:val="nil"/>
              <w:bottom w:val="single" w:sz="4" w:space="0" w:color="auto"/>
              <w:right w:val="nil"/>
            </w:tcBorders>
            <w:shd w:val="clear" w:color="000000" w:fill="D5DCE4"/>
            <w:noWrap/>
            <w:vAlign w:val="center"/>
            <w:hideMark/>
          </w:tcPr>
          <w:p w14:paraId="23AE103E"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11</w:t>
            </w:r>
          </w:p>
        </w:tc>
        <w:tc>
          <w:tcPr>
            <w:tcW w:w="709" w:type="dxa"/>
            <w:tcBorders>
              <w:top w:val="nil"/>
              <w:left w:val="nil"/>
              <w:bottom w:val="single" w:sz="4" w:space="0" w:color="auto"/>
              <w:right w:val="nil"/>
            </w:tcBorders>
            <w:shd w:val="clear" w:color="auto" w:fill="auto"/>
            <w:noWrap/>
            <w:vAlign w:val="center"/>
            <w:hideMark/>
          </w:tcPr>
          <w:p w14:paraId="67B1DBC9"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50</w:t>
            </w:r>
          </w:p>
        </w:tc>
        <w:tc>
          <w:tcPr>
            <w:tcW w:w="1275" w:type="dxa"/>
            <w:tcBorders>
              <w:top w:val="nil"/>
              <w:left w:val="nil"/>
              <w:bottom w:val="single" w:sz="4" w:space="0" w:color="auto"/>
              <w:right w:val="nil"/>
            </w:tcBorders>
            <w:shd w:val="clear" w:color="auto" w:fill="auto"/>
            <w:noWrap/>
            <w:vAlign w:val="center"/>
            <w:hideMark/>
          </w:tcPr>
          <w:p w14:paraId="2D498FE1"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59.6</w:t>
            </w:r>
          </w:p>
        </w:tc>
        <w:tc>
          <w:tcPr>
            <w:tcW w:w="1134" w:type="dxa"/>
            <w:tcBorders>
              <w:top w:val="nil"/>
              <w:left w:val="nil"/>
              <w:bottom w:val="single" w:sz="4" w:space="0" w:color="auto"/>
              <w:right w:val="nil"/>
            </w:tcBorders>
            <w:shd w:val="clear" w:color="000000" w:fill="D5DCE4"/>
            <w:noWrap/>
            <w:vAlign w:val="center"/>
            <w:hideMark/>
          </w:tcPr>
          <w:p w14:paraId="7A2166C1"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5.35</w:t>
            </w:r>
          </w:p>
        </w:tc>
        <w:tc>
          <w:tcPr>
            <w:tcW w:w="1276" w:type="dxa"/>
            <w:tcBorders>
              <w:top w:val="nil"/>
              <w:left w:val="nil"/>
              <w:bottom w:val="single" w:sz="4" w:space="0" w:color="auto"/>
              <w:right w:val="nil"/>
            </w:tcBorders>
            <w:shd w:val="clear" w:color="000000" w:fill="D5DCE4"/>
            <w:noWrap/>
            <w:vAlign w:val="center"/>
            <w:hideMark/>
          </w:tcPr>
          <w:p w14:paraId="6E6FE6E8"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6.08</w:t>
            </w:r>
          </w:p>
        </w:tc>
        <w:tc>
          <w:tcPr>
            <w:tcW w:w="1134" w:type="dxa"/>
            <w:tcBorders>
              <w:top w:val="nil"/>
              <w:left w:val="nil"/>
              <w:bottom w:val="single" w:sz="4" w:space="0" w:color="auto"/>
              <w:right w:val="nil"/>
            </w:tcBorders>
            <w:shd w:val="clear" w:color="auto" w:fill="auto"/>
            <w:noWrap/>
            <w:vAlign w:val="center"/>
            <w:hideMark/>
          </w:tcPr>
          <w:p w14:paraId="55FA4898"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24.74</w:t>
            </w:r>
          </w:p>
        </w:tc>
        <w:tc>
          <w:tcPr>
            <w:tcW w:w="1134" w:type="dxa"/>
            <w:tcBorders>
              <w:top w:val="nil"/>
              <w:left w:val="nil"/>
              <w:bottom w:val="single" w:sz="4" w:space="0" w:color="auto"/>
              <w:right w:val="nil"/>
            </w:tcBorders>
            <w:shd w:val="clear" w:color="auto" w:fill="auto"/>
            <w:noWrap/>
            <w:vAlign w:val="center"/>
            <w:hideMark/>
          </w:tcPr>
          <w:p w14:paraId="7DBFC1DC"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35.08</w:t>
            </w:r>
          </w:p>
        </w:tc>
      </w:tr>
    </w:tbl>
    <w:p w14:paraId="32C419C1" w14:textId="4DEBFB94" w:rsidR="004D18E0" w:rsidRDefault="004D18E0" w:rsidP="00886624">
      <w:pPr>
        <w:pStyle w:val="NormalWeb"/>
        <w:jc w:val="both"/>
        <w:rPr>
          <w:sz w:val="16"/>
        </w:rPr>
      </w:pPr>
      <w:r>
        <w:rPr>
          <w:rFonts w:ascii="Cambria" w:hAnsi="Cambria" w:cs="Cambria"/>
          <w:color w:val="000000"/>
          <w:sz w:val="22"/>
          <w:szCs w:val="22"/>
        </w:rPr>
        <w:t> </w:t>
      </w:r>
    </w:p>
    <w:p w14:paraId="30653F78" w14:textId="3C459C7A" w:rsidR="00002E15" w:rsidRDefault="00002E15" w:rsidP="00002E15">
      <w:pPr>
        <w:pStyle w:val="Heading2"/>
      </w:pPr>
      <w:bookmarkStart w:id="43" w:name="_Toc133420166"/>
      <w:bookmarkStart w:id="44" w:name="_Toc133420457"/>
      <w:bookmarkStart w:id="45" w:name="_Toc133420544"/>
      <w:r>
        <w:t>1.10 Daily intake assessments (all species combined)</w:t>
      </w:r>
      <w:bookmarkEnd w:id="43"/>
      <w:bookmarkEnd w:id="44"/>
      <w:bookmarkEnd w:id="45"/>
      <w:r>
        <w:t xml:space="preserve"> </w:t>
      </w:r>
    </w:p>
    <w:p w14:paraId="43B08601" w14:textId="068B7DC9" w:rsidR="004D18E0" w:rsidRDefault="004D18E0" w:rsidP="00AC32CD">
      <w:pPr>
        <w:pStyle w:val="BodyText"/>
        <w:jc w:val="both"/>
        <w:rPr>
          <w:sz w:val="24"/>
          <w:szCs w:val="26"/>
        </w:rPr>
      </w:pPr>
      <w:r w:rsidRPr="004D18E0">
        <w:rPr>
          <w:sz w:val="24"/>
          <w:szCs w:val="26"/>
        </w:rPr>
        <w:t xml:space="preserve">Daily intake assessments were undertaken for adults and children to better undertake the extent of any health risks identified in the data. This assessment assumed a 70 kg adult eating a 200 g portion of wild duck breast meat or a 100 g portion of liver. The child assessment is for a 15 kg individual eating a 100 g portion of wild duck breast meat or a 50 g portion of liver. Given that the duck meat is likely not the only source of trace elements in a person’s diet, and the known risk that some trace elements can bioaccumulate in the human body, EPA Victoria opted to draw attention to trace elements that </w:t>
      </w:r>
      <w:proofErr w:type="spellStart"/>
      <w:r w:rsidRPr="004D18E0">
        <w:rPr>
          <w:sz w:val="24"/>
          <w:szCs w:val="26"/>
        </w:rPr>
        <w:t>equalled</w:t>
      </w:r>
      <w:proofErr w:type="spellEnd"/>
      <w:r w:rsidRPr="004D18E0">
        <w:rPr>
          <w:sz w:val="24"/>
          <w:szCs w:val="26"/>
        </w:rPr>
        <w:t xml:space="preserve"> or exceeded 5% of daily limit threshold in at least one category of a standard portion. The 5% cut-off is a conservative and risk-averse threshold (Tables 2 and 3).</w:t>
      </w:r>
    </w:p>
    <w:p w14:paraId="7FEF0DA3" w14:textId="10EB1A5B" w:rsidR="00AC32CD" w:rsidRDefault="00AC32CD" w:rsidP="004D18E0">
      <w:pPr>
        <w:pStyle w:val="BodyText"/>
        <w:rPr>
          <w:sz w:val="24"/>
          <w:szCs w:val="26"/>
        </w:rPr>
      </w:pPr>
    </w:p>
    <w:p w14:paraId="265EDD84" w14:textId="14D6A214" w:rsidR="00AC32CD" w:rsidRDefault="00AC32CD" w:rsidP="004D18E0">
      <w:pPr>
        <w:pStyle w:val="BodyText"/>
        <w:rPr>
          <w:sz w:val="24"/>
          <w:szCs w:val="26"/>
        </w:rPr>
      </w:pPr>
    </w:p>
    <w:p w14:paraId="0914942A" w14:textId="77777777" w:rsidR="00265E03" w:rsidRDefault="00265E03" w:rsidP="004D18E0">
      <w:pPr>
        <w:pStyle w:val="BodyText"/>
        <w:rPr>
          <w:sz w:val="24"/>
          <w:szCs w:val="26"/>
        </w:rPr>
      </w:pPr>
    </w:p>
    <w:p w14:paraId="5887F6D3" w14:textId="7314E70C" w:rsidR="00AC32CD" w:rsidRDefault="00AC32CD" w:rsidP="004D18E0">
      <w:pPr>
        <w:pStyle w:val="BodyText"/>
        <w:rPr>
          <w:sz w:val="24"/>
          <w:szCs w:val="26"/>
        </w:rPr>
      </w:pPr>
    </w:p>
    <w:p w14:paraId="03F0B4DE" w14:textId="445765B7" w:rsidR="00AC32CD" w:rsidRDefault="00AC32CD" w:rsidP="004D18E0">
      <w:pPr>
        <w:pStyle w:val="BodyText"/>
        <w:rPr>
          <w:sz w:val="24"/>
          <w:szCs w:val="26"/>
        </w:rPr>
      </w:pPr>
    </w:p>
    <w:p w14:paraId="67E5F8BE" w14:textId="77777777" w:rsidR="00AC32CD" w:rsidRPr="004D18E0" w:rsidRDefault="00AC32CD" w:rsidP="004D18E0">
      <w:pPr>
        <w:pStyle w:val="BodyText"/>
        <w:rPr>
          <w:sz w:val="24"/>
          <w:szCs w:val="26"/>
        </w:rPr>
      </w:pPr>
    </w:p>
    <w:p w14:paraId="6611A55C" w14:textId="77777777" w:rsidR="004D18E0" w:rsidRPr="004D18E0" w:rsidRDefault="004D18E0" w:rsidP="004D18E0">
      <w:pPr>
        <w:pStyle w:val="BodyText"/>
        <w:rPr>
          <w:b/>
          <w:bCs/>
          <w:sz w:val="24"/>
          <w:szCs w:val="26"/>
        </w:rPr>
      </w:pPr>
    </w:p>
    <w:p w14:paraId="4E01A1D3" w14:textId="77777777" w:rsidR="004D18E0" w:rsidRPr="00FC09A1" w:rsidRDefault="004D18E0" w:rsidP="004D18E0">
      <w:pPr>
        <w:pStyle w:val="BodyText"/>
        <w:rPr>
          <w:rFonts w:ascii="VIC-Medium" w:eastAsiaTheme="majorEastAsia" w:hAnsi="VIC-Medium" w:cs="Times New Roman (Headings CS)"/>
          <w:color w:val="005FB4"/>
          <w:sz w:val="26"/>
          <w:szCs w:val="26"/>
          <w:lang w:val="en-AU" w:eastAsia="en-AU"/>
        </w:rPr>
      </w:pPr>
      <w:r w:rsidRPr="00FC09A1">
        <w:rPr>
          <w:rFonts w:ascii="VIC-Medium" w:eastAsiaTheme="majorEastAsia" w:hAnsi="VIC-Medium" w:cs="Times New Roman (Headings CS)"/>
          <w:color w:val="005FB4"/>
          <w:sz w:val="26"/>
          <w:szCs w:val="26"/>
          <w:lang w:val="en-AU" w:eastAsia="en-AU"/>
        </w:rPr>
        <w:t xml:space="preserve">Table 2. Food intake assessment for wild duck breast meat. </w:t>
      </w:r>
    </w:p>
    <w:p w14:paraId="2FA9E89B" w14:textId="780062E7" w:rsidR="004D18E0" w:rsidRPr="0062553E" w:rsidRDefault="004D18E0" w:rsidP="00265E03">
      <w:pPr>
        <w:pStyle w:val="BodyText"/>
        <w:jc w:val="both"/>
        <w:rPr>
          <w:rFonts w:ascii="Arial" w:hAnsi="Arial" w:cs="Arial"/>
          <w:szCs w:val="20"/>
        </w:rPr>
      </w:pPr>
      <w:r w:rsidRPr="0062553E">
        <w:rPr>
          <w:rFonts w:ascii="Arial" w:hAnsi="Arial" w:cs="Arial"/>
          <w:szCs w:val="20"/>
        </w:rPr>
        <w:t xml:space="preserve">Food Standards Australia and New Zealand (FSANZ) tolerable limits are used to establish the percentage of daily limit for each trace element in an example adult (70 kg adult, 200 g duck meat portion) and child (15 kg, 100 g duck meat portion). Daily limits were obtained from the </w:t>
      </w:r>
      <w:hyperlink r:id="rId24" w:history="1">
        <w:r w:rsidRPr="0062553E">
          <w:rPr>
            <w:rStyle w:val="Hyperlink"/>
            <w:rFonts w:ascii="Arial" w:hAnsi="Arial" w:cs="Arial"/>
            <w:szCs w:val="20"/>
          </w:rPr>
          <w:t>20</w:t>
        </w:r>
        <w:r w:rsidRPr="0062553E">
          <w:rPr>
            <w:rStyle w:val="Hyperlink"/>
            <w:rFonts w:ascii="Arial" w:hAnsi="Arial" w:cs="Arial"/>
            <w:szCs w:val="20"/>
            <w:vertAlign w:val="superscript"/>
          </w:rPr>
          <w:t>th</w:t>
        </w:r>
        <w:r w:rsidRPr="0062553E">
          <w:rPr>
            <w:rStyle w:val="Hyperlink"/>
            <w:rFonts w:ascii="Arial" w:hAnsi="Arial" w:cs="Arial"/>
            <w:szCs w:val="20"/>
          </w:rPr>
          <w:t xml:space="preserve"> Australian Total Diet Survey (Part B)</w:t>
        </w:r>
      </w:hyperlink>
      <w:r w:rsidRPr="0062553E">
        <w:rPr>
          <w:rFonts w:ascii="Arial" w:hAnsi="Arial" w:cs="Arial"/>
          <w:szCs w:val="20"/>
        </w:rPr>
        <w:t xml:space="preserve">. Where the amount of a trace element ingested from a single portion exceeds 5% of the daily limit, the value is indicated in bold. Note that the 5% threshold does not constitute advice for or against eating a given species or portion. Rather, it is to allow individuals to make informed decisions about inclusion of wild duck meat or liver in their diet. Chromium and zinc do not have daily dietary limits because the toxicity of these elements is sufficiently low relative to their abundance in a normal human diet that they are considered unlikely to pose a </w:t>
      </w:r>
      <w:proofErr w:type="spellStart"/>
      <w:r w:rsidRPr="0062553E">
        <w:rPr>
          <w:rFonts w:ascii="Arial" w:hAnsi="Arial" w:cs="Arial"/>
          <w:szCs w:val="20"/>
        </w:rPr>
        <w:t>generalised</w:t>
      </w:r>
      <w:proofErr w:type="spellEnd"/>
      <w:r w:rsidRPr="0062553E">
        <w:rPr>
          <w:rFonts w:ascii="Arial" w:hAnsi="Arial" w:cs="Arial"/>
          <w:szCs w:val="20"/>
        </w:rPr>
        <w:t xml:space="preserve"> health risk.</w:t>
      </w:r>
    </w:p>
    <w:p w14:paraId="41DF2EFB" w14:textId="2A1A1ECA" w:rsidR="004D18E0" w:rsidRDefault="004D18E0" w:rsidP="004D18E0">
      <w:pPr>
        <w:pStyle w:val="BodyText"/>
        <w:rPr>
          <w:sz w:val="24"/>
          <w:szCs w:val="26"/>
        </w:rPr>
      </w:pPr>
    </w:p>
    <w:tbl>
      <w:tblPr>
        <w:tblW w:w="10348" w:type="dxa"/>
        <w:tblLook w:val="04A0" w:firstRow="1" w:lastRow="0" w:firstColumn="1" w:lastColumn="0" w:noHBand="0" w:noVBand="1"/>
      </w:tblPr>
      <w:tblGrid>
        <w:gridCol w:w="1107"/>
        <w:gridCol w:w="1035"/>
        <w:gridCol w:w="1433"/>
        <w:gridCol w:w="1407"/>
        <w:gridCol w:w="1389"/>
        <w:gridCol w:w="1753"/>
        <w:gridCol w:w="2224"/>
      </w:tblGrid>
      <w:tr w:rsidR="004D18E0" w:rsidRPr="00BC0A19" w14:paraId="3025644F" w14:textId="77777777" w:rsidTr="00041EE1">
        <w:trPr>
          <w:trHeight w:val="320"/>
        </w:trPr>
        <w:tc>
          <w:tcPr>
            <w:tcW w:w="1107" w:type="dxa"/>
            <w:tcBorders>
              <w:top w:val="single" w:sz="4" w:space="0" w:color="auto"/>
              <w:left w:val="nil"/>
              <w:bottom w:val="nil"/>
              <w:right w:val="nil"/>
            </w:tcBorders>
            <w:shd w:val="clear" w:color="auto" w:fill="auto"/>
            <w:noWrap/>
            <w:vAlign w:val="bottom"/>
            <w:hideMark/>
          </w:tcPr>
          <w:p w14:paraId="14D6BD5D" w14:textId="77777777" w:rsidR="004D18E0" w:rsidRPr="00BC0A19" w:rsidRDefault="004D18E0" w:rsidP="0070368A">
            <w:pPr>
              <w:rPr>
                <w:rFonts w:ascii="Arial" w:hAnsi="Arial"/>
                <w:b/>
                <w:bCs/>
                <w:color w:val="000000"/>
                <w:sz w:val="16"/>
                <w:szCs w:val="16"/>
              </w:rPr>
            </w:pPr>
            <w:r w:rsidRPr="00BC0A19">
              <w:rPr>
                <w:rFonts w:ascii="Arial" w:hAnsi="Arial"/>
                <w:b/>
                <w:bCs/>
                <w:color w:val="000000"/>
                <w:sz w:val="16"/>
                <w:szCs w:val="16"/>
              </w:rPr>
              <w:t> BREAST</w:t>
            </w:r>
          </w:p>
        </w:tc>
        <w:tc>
          <w:tcPr>
            <w:tcW w:w="3875" w:type="dxa"/>
            <w:gridSpan w:val="3"/>
            <w:tcBorders>
              <w:top w:val="single" w:sz="4" w:space="0" w:color="auto"/>
              <w:left w:val="nil"/>
              <w:bottom w:val="nil"/>
              <w:right w:val="nil"/>
            </w:tcBorders>
            <w:shd w:val="clear" w:color="auto" w:fill="auto"/>
            <w:noWrap/>
            <w:vAlign w:val="center"/>
            <w:hideMark/>
          </w:tcPr>
          <w:p w14:paraId="0D2B4632"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FSANZ Tolerable Levels</w:t>
            </w:r>
          </w:p>
        </w:tc>
        <w:tc>
          <w:tcPr>
            <w:tcW w:w="1389" w:type="dxa"/>
            <w:tcBorders>
              <w:top w:val="single" w:sz="4" w:space="0" w:color="auto"/>
              <w:left w:val="nil"/>
              <w:bottom w:val="nil"/>
              <w:right w:val="nil"/>
            </w:tcBorders>
            <w:shd w:val="clear" w:color="auto" w:fill="auto"/>
            <w:noWrap/>
            <w:vAlign w:val="center"/>
            <w:hideMark/>
          </w:tcPr>
          <w:p w14:paraId="5030A27D"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Median meat 200 g portion</w:t>
            </w:r>
          </w:p>
        </w:tc>
        <w:tc>
          <w:tcPr>
            <w:tcW w:w="1753" w:type="dxa"/>
            <w:tcBorders>
              <w:top w:val="single" w:sz="4" w:space="0" w:color="auto"/>
              <w:left w:val="nil"/>
              <w:bottom w:val="nil"/>
              <w:right w:val="nil"/>
            </w:tcBorders>
            <w:shd w:val="clear" w:color="auto" w:fill="auto"/>
            <w:noWrap/>
            <w:vAlign w:val="center"/>
            <w:hideMark/>
          </w:tcPr>
          <w:p w14:paraId="74D66355"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Percent Daily intake</w:t>
            </w:r>
          </w:p>
          <w:p w14:paraId="5FADB07C"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(70 kg adult)</w:t>
            </w:r>
          </w:p>
          <w:p w14:paraId="25586196"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(200 g portion)</w:t>
            </w:r>
          </w:p>
        </w:tc>
        <w:tc>
          <w:tcPr>
            <w:tcW w:w="2224" w:type="dxa"/>
            <w:tcBorders>
              <w:top w:val="single" w:sz="4" w:space="0" w:color="auto"/>
              <w:left w:val="nil"/>
              <w:bottom w:val="nil"/>
              <w:right w:val="nil"/>
            </w:tcBorders>
            <w:shd w:val="clear" w:color="auto" w:fill="auto"/>
            <w:noWrap/>
            <w:vAlign w:val="center"/>
            <w:hideMark/>
          </w:tcPr>
          <w:p w14:paraId="4AA4777B"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Percent Daily intake</w:t>
            </w:r>
          </w:p>
          <w:p w14:paraId="2288882C"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(15 kg child)</w:t>
            </w:r>
          </w:p>
          <w:p w14:paraId="6ADCB555"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(100 g portion)</w:t>
            </w:r>
          </w:p>
        </w:tc>
      </w:tr>
      <w:tr w:rsidR="004D18E0" w:rsidRPr="00BC0A19" w14:paraId="4688AA2D" w14:textId="77777777" w:rsidTr="00041EE1">
        <w:trPr>
          <w:trHeight w:val="320"/>
        </w:trPr>
        <w:tc>
          <w:tcPr>
            <w:tcW w:w="1107" w:type="dxa"/>
            <w:tcBorders>
              <w:top w:val="nil"/>
              <w:left w:val="nil"/>
              <w:bottom w:val="single" w:sz="4" w:space="0" w:color="auto"/>
              <w:right w:val="nil"/>
            </w:tcBorders>
            <w:shd w:val="clear" w:color="auto" w:fill="auto"/>
            <w:noWrap/>
            <w:vAlign w:val="bottom"/>
            <w:hideMark/>
          </w:tcPr>
          <w:p w14:paraId="2585E9DE"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 </w:t>
            </w:r>
          </w:p>
        </w:tc>
        <w:tc>
          <w:tcPr>
            <w:tcW w:w="1035" w:type="dxa"/>
            <w:tcBorders>
              <w:top w:val="nil"/>
              <w:left w:val="nil"/>
              <w:bottom w:val="single" w:sz="4" w:space="0" w:color="auto"/>
              <w:right w:val="nil"/>
            </w:tcBorders>
            <w:shd w:val="clear" w:color="auto" w:fill="auto"/>
            <w:noWrap/>
            <w:vAlign w:val="center"/>
            <w:hideMark/>
          </w:tcPr>
          <w:p w14:paraId="1D69A1D9"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 xml:space="preserve">mg/kg </w:t>
            </w:r>
            <w:proofErr w:type="spellStart"/>
            <w:r w:rsidRPr="00BC0A19">
              <w:rPr>
                <w:rFonts w:ascii="Arial" w:hAnsi="Arial"/>
                <w:b/>
                <w:bCs/>
                <w:color w:val="000000"/>
                <w:sz w:val="15"/>
                <w:szCs w:val="15"/>
              </w:rPr>
              <w:t>bw</w:t>
            </w:r>
            <w:proofErr w:type="spellEnd"/>
            <w:r w:rsidRPr="00BC0A19">
              <w:rPr>
                <w:rFonts w:ascii="Arial" w:hAnsi="Arial"/>
                <w:b/>
                <w:bCs/>
                <w:color w:val="000000"/>
                <w:sz w:val="15"/>
                <w:szCs w:val="15"/>
              </w:rPr>
              <w:t>/day</w:t>
            </w:r>
          </w:p>
        </w:tc>
        <w:tc>
          <w:tcPr>
            <w:tcW w:w="1433" w:type="dxa"/>
            <w:tcBorders>
              <w:top w:val="nil"/>
              <w:left w:val="nil"/>
              <w:bottom w:val="single" w:sz="4" w:space="0" w:color="auto"/>
              <w:right w:val="nil"/>
            </w:tcBorders>
            <w:shd w:val="clear" w:color="auto" w:fill="auto"/>
            <w:noWrap/>
            <w:vAlign w:val="center"/>
            <w:hideMark/>
          </w:tcPr>
          <w:p w14:paraId="7872BE25"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70 kg adult (mg/day)</w:t>
            </w:r>
          </w:p>
        </w:tc>
        <w:tc>
          <w:tcPr>
            <w:tcW w:w="1407" w:type="dxa"/>
            <w:tcBorders>
              <w:top w:val="nil"/>
              <w:left w:val="nil"/>
              <w:bottom w:val="single" w:sz="4" w:space="0" w:color="auto"/>
              <w:right w:val="nil"/>
            </w:tcBorders>
            <w:shd w:val="clear" w:color="auto" w:fill="auto"/>
            <w:noWrap/>
            <w:vAlign w:val="center"/>
            <w:hideMark/>
          </w:tcPr>
          <w:p w14:paraId="64F59A1C"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15 kg child (mg/day)</w:t>
            </w:r>
          </w:p>
        </w:tc>
        <w:tc>
          <w:tcPr>
            <w:tcW w:w="1389" w:type="dxa"/>
            <w:tcBorders>
              <w:top w:val="nil"/>
              <w:left w:val="nil"/>
              <w:bottom w:val="single" w:sz="4" w:space="0" w:color="auto"/>
              <w:right w:val="nil"/>
            </w:tcBorders>
            <w:shd w:val="clear" w:color="auto" w:fill="auto"/>
            <w:noWrap/>
            <w:vAlign w:val="center"/>
            <w:hideMark/>
          </w:tcPr>
          <w:p w14:paraId="3D260A00" w14:textId="77777777" w:rsidR="004D18E0" w:rsidRPr="00BC0A19" w:rsidRDefault="004D18E0" w:rsidP="0070368A">
            <w:pPr>
              <w:jc w:val="center"/>
              <w:rPr>
                <w:rFonts w:ascii="Arial" w:hAnsi="Arial"/>
                <w:b/>
                <w:bCs/>
                <w:color w:val="000000"/>
                <w:sz w:val="15"/>
                <w:szCs w:val="15"/>
              </w:rPr>
            </w:pPr>
          </w:p>
        </w:tc>
        <w:tc>
          <w:tcPr>
            <w:tcW w:w="1753" w:type="dxa"/>
            <w:tcBorders>
              <w:top w:val="nil"/>
              <w:left w:val="nil"/>
              <w:bottom w:val="single" w:sz="4" w:space="0" w:color="auto"/>
              <w:right w:val="nil"/>
            </w:tcBorders>
            <w:shd w:val="clear" w:color="auto" w:fill="auto"/>
            <w:noWrap/>
            <w:vAlign w:val="center"/>
            <w:hideMark/>
          </w:tcPr>
          <w:p w14:paraId="775A7611" w14:textId="77777777" w:rsidR="004D18E0" w:rsidRPr="00BC0A19" w:rsidRDefault="004D18E0" w:rsidP="0070368A">
            <w:pPr>
              <w:jc w:val="center"/>
              <w:rPr>
                <w:rFonts w:ascii="Arial" w:hAnsi="Arial"/>
                <w:b/>
                <w:bCs/>
                <w:color w:val="000000"/>
                <w:sz w:val="15"/>
                <w:szCs w:val="15"/>
              </w:rPr>
            </w:pPr>
          </w:p>
        </w:tc>
        <w:tc>
          <w:tcPr>
            <w:tcW w:w="2224" w:type="dxa"/>
            <w:tcBorders>
              <w:top w:val="nil"/>
              <w:left w:val="nil"/>
              <w:bottom w:val="single" w:sz="4" w:space="0" w:color="auto"/>
              <w:right w:val="nil"/>
            </w:tcBorders>
            <w:shd w:val="clear" w:color="auto" w:fill="auto"/>
            <w:noWrap/>
            <w:vAlign w:val="center"/>
            <w:hideMark/>
          </w:tcPr>
          <w:p w14:paraId="647062BC" w14:textId="77777777" w:rsidR="004D18E0" w:rsidRPr="00BC0A19" w:rsidRDefault="004D18E0" w:rsidP="0070368A">
            <w:pPr>
              <w:jc w:val="center"/>
              <w:rPr>
                <w:rFonts w:ascii="Arial" w:hAnsi="Arial"/>
                <w:b/>
                <w:bCs/>
                <w:color w:val="000000"/>
                <w:sz w:val="15"/>
                <w:szCs w:val="15"/>
              </w:rPr>
            </w:pPr>
          </w:p>
        </w:tc>
      </w:tr>
      <w:tr w:rsidR="004D18E0" w:rsidRPr="00BC0A19" w14:paraId="4821FA15" w14:textId="77777777" w:rsidTr="00041EE1">
        <w:trPr>
          <w:trHeight w:val="153"/>
        </w:trPr>
        <w:tc>
          <w:tcPr>
            <w:tcW w:w="1107" w:type="dxa"/>
            <w:tcBorders>
              <w:top w:val="nil"/>
              <w:left w:val="nil"/>
              <w:bottom w:val="nil"/>
              <w:right w:val="nil"/>
            </w:tcBorders>
            <w:shd w:val="clear" w:color="auto" w:fill="auto"/>
            <w:noWrap/>
            <w:vAlign w:val="bottom"/>
            <w:hideMark/>
          </w:tcPr>
          <w:p w14:paraId="03F55F10"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Arsenic</w:t>
            </w:r>
          </w:p>
        </w:tc>
        <w:tc>
          <w:tcPr>
            <w:tcW w:w="1035" w:type="dxa"/>
            <w:tcBorders>
              <w:top w:val="nil"/>
              <w:left w:val="nil"/>
              <w:bottom w:val="nil"/>
              <w:right w:val="nil"/>
            </w:tcBorders>
            <w:shd w:val="clear" w:color="auto" w:fill="auto"/>
            <w:noWrap/>
            <w:vAlign w:val="bottom"/>
            <w:hideMark/>
          </w:tcPr>
          <w:p w14:paraId="774C8CB3"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0.003</w:t>
            </w:r>
          </w:p>
        </w:tc>
        <w:tc>
          <w:tcPr>
            <w:tcW w:w="1433" w:type="dxa"/>
            <w:tcBorders>
              <w:top w:val="nil"/>
              <w:left w:val="nil"/>
              <w:bottom w:val="nil"/>
              <w:right w:val="nil"/>
            </w:tcBorders>
            <w:shd w:val="clear" w:color="auto" w:fill="auto"/>
            <w:noWrap/>
            <w:vAlign w:val="bottom"/>
            <w:hideMark/>
          </w:tcPr>
          <w:p w14:paraId="4EBEAF74"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0.21</w:t>
            </w:r>
          </w:p>
        </w:tc>
        <w:tc>
          <w:tcPr>
            <w:tcW w:w="1407" w:type="dxa"/>
            <w:tcBorders>
              <w:top w:val="nil"/>
              <w:left w:val="nil"/>
              <w:bottom w:val="nil"/>
              <w:right w:val="nil"/>
            </w:tcBorders>
            <w:shd w:val="clear" w:color="auto" w:fill="auto"/>
            <w:noWrap/>
            <w:vAlign w:val="bottom"/>
            <w:hideMark/>
          </w:tcPr>
          <w:p w14:paraId="045DDBDF"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0.045</w:t>
            </w:r>
          </w:p>
        </w:tc>
        <w:tc>
          <w:tcPr>
            <w:tcW w:w="1389" w:type="dxa"/>
            <w:tcBorders>
              <w:top w:val="nil"/>
              <w:left w:val="nil"/>
              <w:bottom w:val="nil"/>
              <w:right w:val="nil"/>
            </w:tcBorders>
            <w:shd w:val="clear" w:color="auto" w:fill="auto"/>
            <w:noWrap/>
            <w:vAlign w:val="bottom"/>
            <w:hideMark/>
          </w:tcPr>
          <w:p w14:paraId="1FC8AE9D"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0.005</w:t>
            </w:r>
          </w:p>
        </w:tc>
        <w:tc>
          <w:tcPr>
            <w:tcW w:w="1753" w:type="dxa"/>
            <w:tcBorders>
              <w:top w:val="nil"/>
              <w:left w:val="nil"/>
              <w:bottom w:val="nil"/>
              <w:right w:val="nil"/>
            </w:tcBorders>
            <w:shd w:val="clear" w:color="auto" w:fill="auto"/>
            <w:noWrap/>
            <w:vAlign w:val="bottom"/>
            <w:hideMark/>
          </w:tcPr>
          <w:p w14:paraId="70DF8424" w14:textId="77777777" w:rsidR="004D18E0" w:rsidRPr="006A6C77" w:rsidRDefault="004D18E0" w:rsidP="0070368A">
            <w:pPr>
              <w:jc w:val="center"/>
              <w:rPr>
                <w:rFonts w:ascii="Arial" w:hAnsi="Arial"/>
                <w:color w:val="000000"/>
                <w:sz w:val="15"/>
                <w:szCs w:val="15"/>
              </w:rPr>
            </w:pPr>
            <w:r w:rsidRPr="006A6C77">
              <w:rPr>
                <w:rFonts w:ascii="Arial" w:hAnsi="Arial"/>
                <w:color w:val="000000"/>
                <w:sz w:val="15"/>
                <w:szCs w:val="15"/>
              </w:rPr>
              <w:t>2.4%</w:t>
            </w:r>
          </w:p>
        </w:tc>
        <w:tc>
          <w:tcPr>
            <w:tcW w:w="2224" w:type="dxa"/>
            <w:tcBorders>
              <w:top w:val="nil"/>
              <w:left w:val="nil"/>
              <w:bottom w:val="nil"/>
              <w:right w:val="nil"/>
            </w:tcBorders>
            <w:shd w:val="clear" w:color="auto" w:fill="auto"/>
            <w:noWrap/>
            <w:vAlign w:val="bottom"/>
            <w:hideMark/>
          </w:tcPr>
          <w:p w14:paraId="49DD4161" w14:textId="77777777" w:rsidR="004D18E0" w:rsidRPr="006A6C77" w:rsidRDefault="004D18E0" w:rsidP="0070368A">
            <w:pPr>
              <w:jc w:val="center"/>
              <w:rPr>
                <w:rFonts w:ascii="Arial" w:hAnsi="Arial"/>
                <w:b/>
                <w:bCs/>
                <w:color w:val="000000"/>
                <w:sz w:val="15"/>
                <w:szCs w:val="15"/>
              </w:rPr>
            </w:pPr>
            <w:r w:rsidRPr="0012385D">
              <w:rPr>
                <w:rFonts w:ascii="Arial" w:hAnsi="Arial"/>
                <w:b/>
                <w:bCs/>
                <w:color w:val="000000" w:themeColor="text1"/>
                <w:sz w:val="15"/>
                <w:szCs w:val="15"/>
              </w:rPr>
              <w:t>5.6%</w:t>
            </w:r>
          </w:p>
        </w:tc>
      </w:tr>
      <w:tr w:rsidR="004D18E0" w:rsidRPr="00BC0A19" w14:paraId="5169E12D" w14:textId="77777777" w:rsidTr="00041EE1">
        <w:trPr>
          <w:trHeight w:val="124"/>
        </w:trPr>
        <w:tc>
          <w:tcPr>
            <w:tcW w:w="1107" w:type="dxa"/>
            <w:tcBorders>
              <w:top w:val="nil"/>
              <w:left w:val="nil"/>
              <w:bottom w:val="nil"/>
              <w:right w:val="nil"/>
            </w:tcBorders>
            <w:shd w:val="clear" w:color="auto" w:fill="auto"/>
            <w:noWrap/>
            <w:vAlign w:val="bottom"/>
            <w:hideMark/>
          </w:tcPr>
          <w:p w14:paraId="5A83DB48"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Cadmium</w:t>
            </w:r>
          </w:p>
        </w:tc>
        <w:tc>
          <w:tcPr>
            <w:tcW w:w="1035" w:type="dxa"/>
            <w:tcBorders>
              <w:top w:val="nil"/>
              <w:left w:val="nil"/>
              <w:bottom w:val="nil"/>
              <w:right w:val="nil"/>
            </w:tcBorders>
            <w:shd w:val="clear" w:color="auto" w:fill="auto"/>
            <w:noWrap/>
            <w:vAlign w:val="bottom"/>
            <w:hideMark/>
          </w:tcPr>
          <w:p w14:paraId="0F804954"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0.007</w:t>
            </w:r>
          </w:p>
        </w:tc>
        <w:tc>
          <w:tcPr>
            <w:tcW w:w="1433" w:type="dxa"/>
            <w:tcBorders>
              <w:top w:val="nil"/>
              <w:left w:val="nil"/>
              <w:bottom w:val="nil"/>
              <w:right w:val="nil"/>
            </w:tcBorders>
            <w:shd w:val="clear" w:color="auto" w:fill="auto"/>
            <w:noWrap/>
            <w:vAlign w:val="bottom"/>
            <w:hideMark/>
          </w:tcPr>
          <w:p w14:paraId="4789CBC5"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0.49</w:t>
            </w:r>
          </w:p>
        </w:tc>
        <w:tc>
          <w:tcPr>
            <w:tcW w:w="1407" w:type="dxa"/>
            <w:tcBorders>
              <w:top w:val="nil"/>
              <w:left w:val="nil"/>
              <w:bottom w:val="nil"/>
              <w:right w:val="nil"/>
            </w:tcBorders>
            <w:shd w:val="clear" w:color="auto" w:fill="auto"/>
            <w:noWrap/>
            <w:vAlign w:val="bottom"/>
            <w:hideMark/>
          </w:tcPr>
          <w:p w14:paraId="0C5B1D83"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0.105</w:t>
            </w:r>
          </w:p>
        </w:tc>
        <w:tc>
          <w:tcPr>
            <w:tcW w:w="1389" w:type="dxa"/>
            <w:tcBorders>
              <w:top w:val="nil"/>
              <w:left w:val="nil"/>
              <w:bottom w:val="nil"/>
              <w:right w:val="nil"/>
            </w:tcBorders>
            <w:shd w:val="clear" w:color="auto" w:fill="auto"/>
            <w:noWrap/>
            <w:vAlign w:val="bottom"/>
            <w:hideMark/>
          </w:tcPr>
          <w:p w14:paraId="1E87CF02"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0.001</w:t>
            </w:r>
          </w:p>
        </w:tc>
        <w:tc>
          <w:tcPr>
            <w:tcW w:w="1753" w:type="dxa"/>
            <w:tcBorders>
              <w:top w:val="nil"/>
              <w:left w:val="nil"/>
              <w:bottom w:val="nil"/>
              <w:right w:val="nil"/>
            </w:tcBorders>
            <w:shd w:val="clear" w:color="auto" w:fill="auto"/>
            <w:noWrap/>
            <w:vAlign w:val="bottom"/>
            <w:hideMark/>
          </w:tcPr>
          <w:p w14:paraId="5B1D3DD7" w14:textId="77777777" w:rsidR="004D18E0" w:rsidRPr="006A6C77" w:rsidRDefault="004D18E0" w:rsidP="0070368A">
            <w:pPr>
              <w:jc w:val="center"/>
              <w:rPr>
                <w:rFonts w:ascii="Arial" w:hAnsi="Arial"/>
                <w:color w:val="000000"/>
                <w:sz w:val="15"/>
                <w:szCs w:val="15"/>
              </w:rPr>
            </w:pPr>
            <w:r w:rsidRPr="006A6C77">
              <w:rPr>
                <w:rFonts w:ascii="Arial" w:hAnsi="Arial"/>
                <w:color w:val="000000"/>
                <w:sz w:val="15"/>
                <w:szCs w:val="15"/>
              </w:rPr>
              <w:t>0.2%</w:t>
            </w:r>
          </w:p>
        </w:tc>
        <w:tc>
          <w:tcPr>
            <w:tcW w:w="2224" w:type="dxa"/>
            <w:tcBorders>
              <w:top w:val="nil"/>
              <w:left w:val="nil"/>
              <w:bottom w:val="nil"/>
              <w:right w:val="nil"/>
            </w:tcBorders>
            <w:shd w:val="clear" w:color="auto" w:fill="auto"/>
            <w:noWrap/>
            <w:vAlign w:val="bottom"/>
            <w:hideMark/>
          </w:tcPr>
          <w:p w14:paraId="0BDA5134" w14:textId="77777777" w:rsidR="004D18E0" w:rsidRPr="006A6C77" w:rsidRDefault="004D18E0" w:rsidP="0070368A">
            <w:pPr>
              <w:jc w:val="center"/>
              <w:rPr>
                <w:rFonts w:ascii="Arial" w:hAnsi="Arial"/>
                <w:color w:val="000000"/>
                <w:sz w:val="15"/>
                <w:szCs w:val="15"/>
              </w:rPr>
            </w:pPr>
            <w:r w:rsidRPr="006A6C77">
              <w:rPr>
                <w:rFonts w:ascii="Arial" w:hAnsi="Arial"/>
                <w:color w:val="000000"/>
                <w:sz w:val="15"/>
                <w:szCs w:val="15"/>
              </w:rPr>
              <w:t>0.5%</w:t>
            </w:r>
          </w:p>
        </w:tc>
      </w:tr>
      <w:tr w:rsidR="004D18E0" w:rsidRPr="00BC0A19" w14:paraId="44930609" w14:textId="77777777" w:rsidTr="00041EE1">
        <w:trPr>
          <w:trHeight w:val="60"/>
        </w:trPr>
        <w:tc>
          <w:tcPr>
            <w:tcW w:w="1107" w:type="dxa"/>
            <w:tcBorders>
              <w:top w:val="nil"/>
              <w:left w:val="nil"/>
              <w:bottom w:val="nil"/>
              <w:right w:val="nil"/>
            </w:tcBorders>
            <w:shd w:val="clear" w:color="auto" w:fill="auto"/>
            <w:noWrap/>
            <w:vAlign w:val="bottom"/>
            <w:hideMark/>
          </w:tcPr>
          <w:p w14:paraId="65F05868"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Chromium</w:t>
            </w:r>
          </w:p>
        </w:tc>
        <w:tc>
          <w:tcPr>
            <w:tcW w:w="1035" w:type="dxa"/>
            <w:tcBorders>
              <w:top w:val="nil"/>
              <w:left w:val="nil"/>
              <w:bottom w:val="nil"/>
              <w:right w:val="nil"/>
            </w:tcBorders>
            <w:shd w:val="clear" w:color="auto" w:fill="auto"/>
            <w:noWrap/>
            <w:vAlign w:val="bottom"/>
            <w:hideMark/>
          </w:tcPr>
          <w:p w14:paraId="507C7E8C"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na</w:t>
            </w:r>
            <w:proofErr w:type="spellEnd"/>
          </w:p>
        </w:tc>
        <w:tc>
          <w:tcPr>
            <w:tcW w:w="1433" w:type="dxa"/>
            <w:tcBorders>
              <w:top w:val="nil"/>
              <w:left w:val="nil"/>
              <w:bottom w:val="nil"/>
              <w:right w:val="nil"/>
            </w:tcBorders>
            <w:shd w:val="clear" w:color="auto" w:fill="auto"/>
            <w:noWrap/>
            <w:vAlign w:val="bottom"/>
            <w:hideMark/>
          </w:tcPr>
          <w:p w14:paraId="530FA8DC"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na</w:t>
            </w:r>
            <w:proofErr w:type="spellEnd"/>
          </w:p>
        </w:tc>
        <w:tc>
          <w:tcPr>
            <w:tcW w:w="1407" w:type="dxa"/>
            <w:tcBorders>
              <w:top w:val="nil"/>
              <w:left w:val="nil"/>
              <w:bottom w:val="nil"/>
              <w:right w:val="nil"/>
            </w:tcBorders>
            <w:shd w:val="clear" w:color="auto" w:fill="auto"/>
            <w:noWrap/>
            <w:vAlign w:val="bottom"/>
            <w:hideMark/>
          </w:tcPr>
          <w:p w14:paraId="1ACDDE42"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na</w:t>
            </w:r>
            <w:proofErr w:type="spellEnd"/>
          </w:p>
        </w:tc>
        <w:tc>
          <w:tcPr>
            <w:tcW w:w="1389" w:type="dxa"/>
            <w:tcBorders>
              <w:top w:val="nil"/>
              <w:left w:val="nil"/>
              <w:bottom w:val="nil"/>
              <w:right w:val="nil"/>
            </w:tcBorders>
            <w:shd w:val="clear" w:color="auto" w:fill="auto"/>
            <w:noWrap/>
            <w:vAlign w:val="bottom"/>
            <w:hideMark/>
          </w:tcPr>
          <w:p w14:paraId="66D457C0"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0.005</w:t>
            </w:r>
          </w:p>
        </w:tc>
        <w:tc>
          <w:tcPr>
            <w:tcW w:w="1753" w:type="dxa"/>
            <w:tcBorders>
              <w:top w:val="nil"/>
              <w:left w:val="nil"/>
              <w:bottom w:val="nil"/>
              <w:right w:val="nil"/>
            </w:tcBorders>
            <w:shd w:val="clear" w:color="auto" w:fill="auto"/>
            <w:noWrap/>
            <w:vAlign w:val="bottom"/>
            <w:hideMark/>
          </w:tcPr>
          <w:p w14:paraId="7B374F6A" w14:textId="77777777" w:rsidR="004D18E0" w:rsidRPr="006A6C77" w:rsidRDefault="004D18E0" w:rsidP="0070368A">
            <w:pPr>
              <w:jc w:val="center"/>
              <w:rPr>
                <w:rFonts w:ascii="Arial" w:hAnsi="Arial"/>
                <w:color w:val="000000"/>
                <w:sz w:val="15"/>
                <w:szCs w:val="15"/>
              </w:rPr>
            </w:pPr>
            <w:proofErr w:type="spellStart"/>
            <w:r w:rsidRPr="006A6C77">
              <w:rPr>
                <w:rFonts w:ascii="Arial" w:hAnsi="Arial"/>
                <w:color w:val="000000"/>
                <w:sz w:val="15"/>
                <w:szCs w:val="15"/>
              </w:rPr>
              <w:t>na</w:t>
            </w:r>
            <w:proofErr w:type="spellEnd"/>
          </w:p>
        </w:tc>
        <w:tc>
          <w:tcPr>
            <w:tcW w:w="2224" w:type="dxa"/>
            <w:tcBorders>
              <w:top w:val="nil"/>
              <w:left w:val="nil"/>
              <w:bottom w:val="nil"/>
              <w:right w:val="nil"/>
            </w:tcBorders>
            <w:shd w:val="clear" w:color="auto" w:fill="auto"/>
            <w:noWrap/>
            <w:vAlign w:val="bottom"/>
            <w:hideMark/>
          </w:tcPr>
          <w:p w14:paraId="13EEA094" w14:textId="77777777" w:rsidR="004D18E0" w:rsidRPr="006A6C77" w:rsidRDefault="004D18E0" w:rsidP="0070368A">
            <w:pPr>
              <w:jc w:val="center"/>
              <w:rPr>
                <w:rFonts w:ascii="Arial" w:hAnsi="Arial"/>
                <w:color w:val="000000"/>
                <w:sz w:val="15"/>
                <w:szCs w:val="15"/>
              </w:rPr>
            </w:pPr>
            <w:proofErr w:type="spellStart"/>
            <w:r w:rsidRPr="006A6C77">
              <w:rPr>
                <w:rFonts w:ascii="Arial" w:hAnsi="Arial"/>
                <w:color w:val="000000"/>
                <w:sz w:val="15"/>
                <w:szCs w:val="15"/>
              </w:rPr>
              <w:t>na</w:t>
            </w:r>
            <w:proofErr w:type="spellEnd"/>
          </w:p>
        </w:tc>
      </w:tr>
      <w:tr w:rsidR="004D18E0" w:rsidRPr="00BC0A19" w14:paraId="210FDB6F" w14:textId="77777777" w:rsidTr="00041EE1">
        <w:trPr>
          <w:trHeight w:val="60"/>
        </w:trPr>
        <w:tc>
          <w:tcPr>
            <w:tcW w:w="1107" w:type="dxa"/>
            <w:tcBorders>
              <w:top w:val="nil"/>
              <w:left w:val="nil"/>
              <w:bottom w:val="nil"/>
              <w:right w:val="nil"/>
            </w:tcBorders>
            <w:shd w:val="clear" w:color="auto" w:fill="auto"/>
            <w:noWrap/>
            <w:vAlign w:val="bottom"/>
            <w:hideMark/>
          </w:tcPr>
          <w:p w14:paraId="575B70EB"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Copper</w:t>
            </w:r>
          </w:p>
        </w:tc>
        <w:tc>
          <w:tcPr>
            <w:tcW w:w="1035" w:type="dxa"/>
            <w:tcBorders>
              <w:top w:val="nil"/>
              <w:left w:val="nil"/>
              <w:bottom w:val="nil"/>
              <w:right w:val="nil"/>
            </w:tcBorders>
            <w:shd w:val="clear" w:color="auto" w:fill="auto"/>
            <w:noWrap/>
            <w:vAlign w:val="bottom"/>
            <w:hideMark/>
          </w:tcPr>
          <w:p w14:paraId="6A07C58E"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0.200</w:t>
            </w:r>
          </w:p>
        </w:tc>
        <w:tc>
          <w:tcPr>
            <w:tcW w:w="1433" w:type="dxa"/>
            <w:tcBorders>
              <w:top w:val="nil"/>
              <w:left w:val="nil"/>
              <w:bottom w:val="nil"/>
              <w:right w:val="nil"/>
            </w:tcBorders>
            <w:shd w:val="clear" w:color="auto" w:fill="auto"/>
            <w:noWrap/>
            <w:vAlign w:val="bottom"/>
            <w:hideMark/>
          </w:tcPr>
          <w:p w14:paraId="4732BECA"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14</w:t>
            </w:r>
          </w:p>
        </w:tc>
        <w:tc>
          <w:tcPr>
            <w:tcW w:w="1407" w:type="dxa"/>
            <w:tcBorders>
              <w:top w:val="nil"/>
              <w:left w:val="nil"/>
              <w:bottom w:val="nil"/>
              <w:right w:val="nil"/>
            </w:tcBorders>
            <w:shd w:val="clear" w:color="auto" w:fill="auto"/>
            <w:noWrap/>
            <w:vAlign w:val="bottom"/>
            <w:hideMark/>
          </w:tcPr>
          <w:p w14:paraId="00CE1BEF"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3.0</w:t>
            </w:r>
          </w:p>
        </w:tc>
        <w:tc>
          <w:tcPr>
            <w:tcW w:w="1389" w:type="dxa"/>
            <w:tcBorders>
              <w:top w:val="nil"/>
              <w:left w:val="nil"/>
              <w:bottom w:val="nil"/>
              <w:right w:val="nil"/>
            </w:tcBorders>
            <w:shd w:val="clear" w:color="auto" w:fill="auto"/>
            <w:noWrap/>
            <w:vAlign w:val="bottom"/>
            <w:hideMark/>
          </w:tcPr>
          <w:p w14:paraId="7E125D69"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1.22</w:t>
            </w:r>
          </w:p>
        </w:tc>
        <w:tc>
          <w:tcPr>
            <w:tcW w:w="1753" w:type="dxa"/>
            <w:tcBorders>
              <w:top w:val="nil"/>
              <w:left w:val="nil"/>
              <w:bottom w:val="nil"/>
              <w:right w:val="nil"/>
            </w:tcBorders>
            <w:shd w:val="clear" w:color="auto" w:fill="auto"/>
            <w:noWrap/>
            <w:vAlign w:val="bottom"/>
            <w:hideMark/>
          </w:tcPr>
          <w:p w14:paraId="21969130" w14:textId="77777777" w:rsidR="004D18E0" w:rsidRPr="006A6C77" w:rsidRDefault="004D18E0" w:rsidP="0070368A">
            <w:pPr>
              <w:jc w:val="center"/>
              <w:rPr>
                <w:rFonts w:ascii="Arial" w:hAnsi="Arial"/>
                <w:b/>
                <w:bCs/>
                <w:color w:val="000000"/>
                <w:sz w:val="15"/>
                <w:szCs w:val="15"/>
              </w:rPr>
            </w:pPr>
            <w:r w:rsidRPr="0012385D">
              <w:rPr>
                <w:rFonts w:ascii="Arial" w:hAnsi="Arial"/>
                <w:b/>
                <w:bCs/>
                <w:color w:val="000000" w:themeColor="text1"/>
                <w:sz w:val="15"/>
                <w:szCs w:val="15"/>
              </w:rPr>
              <w:t>8.7%</w:t>
            </w:r>
          </w:p>
        </w:tc>
        <w:tc>
          <w:tcPr>
            <w:tcW w:w="2224" w:type="dxa"/>
            <w:tcBorders>
              <w:top w:val="nil"/>
              <w:left w:val="nil"/>
              <w:bottom w:val="nil"/>
              <w:right w:val="nil"/>
            </w:tcBorders>
            <w:shd w:val="clear" w:color="auto" w:fill="auto"/>
            <w:noWrap/>
            <w:vAlign w:val="bottom"/>
            <w:hideMark/>
          </w:tcPr>
          <w:p w14:paraId="284CB030" w14:textId="77777777" w:rsidR="004D18E0" w:rsidRPr="006A6C77" w:rsidRDefault="004D18E0" w:rsidP="0070368A">
            <w:pPr>
              <w:jc w:val="center"/>
              <w:rPr>
                <w:rFonts w:ascii="Arial" w:hAnsi="Arial"/>
                <w:b/>
                <w:bCs/>
                <w:color w:val="000000"/>
                <w:sz w:val="15"/>
                <w:szCs w:val="15"/>
              </w:rPr>
            </w:pPr>
            <w:r w:rsidRPr="0012385D">
              <w:rPr>
                <w:rFonts w:ascii="Arial" w:hAnsi="Arial"/>
                <w:b/>
                <w:bCs/>
                <w:color w:val="000000" w:themeColor="text1"/>
                <w:sz w:val="15"/>
                <w:szCs w:val="15"/>
              </w:rPr>
              <w:t>20.3%</w:t>
            </w:r>
          </w:p>
        </w:tc>
      </w:tr>
      <w:tr w:rsidR="004D18E0" w:rsidRPr="00BC0A19" w14:paraId="3E29D468" w14:textId="77777777" w:rsidTr="00041EE1">
        <w:trPr>
          <w:trHeight w:val="174"/>
        </w:trPr>
        <w:tc>
          <w:tcPr>
            <w:tcW w:w="1107" w:type="dxa"/>
            <w:tcBorders>
              <w:top w:val="nil"/>
              <w:left w:val="nil"/>
              <w:bottom w:val="nil"/>
              <w:right w:val="nil"/>
            </w:tcBorders>
            <w:shd w:val="clear" w:color="auto" w:fill="auto"/>
            <w:noWrap/>
            <w:vAlign w:val="bottom"/>
            <w:hideMark/>
          </w:tcPr>
          <w:p w14:paraId="7861FB6D"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Lead</w:t>
            </w:r>
          </w:p>
        </w:tc>
        <w:tc>
          <w:tcPr>
            <w:tcW w:w="1035" w:type="dxa"/>
            <w:tcBorders>
              <w:top w:val="nil"/>
              <w:left w:val="nil"/>
              <w:bottom w:val="nil"/>
              <w:right w:val="nil"/>
            </w:tcBorders>
            <w:shd w:val="clear" w:color="auto" w:fill="auto"/>
            <w:noWrap/>
            <w:vAlign w:val="bottom"/>
            <w:hideMark/>
          </w:tcPr>
          <w:p w14:paraId="61F77716"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0.025</w:t>
            </w:r>
          </w:p>
        </w:tc>
        <w:tc>
          <w:tcPr>
            <w:tcW w:w="1433" w:type="dxa"/>
            <w:tcBorders>
              <w:top w:val="nil"/>
              <w:left w:val="nil"/>
              <w:bottom w:val="nil"/>
              <w:right w:val="nil"/>
            </w:tcBorders>
            <w:shd w:val="clear" w:color="auto" w:fill="auto"/>
            <w:noWrap/>
            <w:vAlign w:val="bottom"/>
            <w:hideMark/>
          </w:tcPr>
          <w:p w14:paraId="6DA075CF"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1.75</w:t>
            </w:r>
          </w:p>
        </w:tc>
        <w:tc>
          <w:tcPr>
            <w:tcW w:w="1407" w:type="dxa"/>
            <w:tcBorders>
              <w:top w:val="nil"/>
              <w:left w:val="nil"/>
              <w:bottom w:val="nil"/>
              <w:right w:val="nil"/>
            </w:tcBorders>
            <w:shd w:val="clear" w:color="auto" w:fill="auto"/>
            <w:noWrap/>
            <w:vAlign w:val="bottom"/>
            <w:hideMark/>
          </w:tcPr>
          <w:p w14:paraId="3FD478D7"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0.375</w:t>
            </w:r>
          </w:p>
        </w:tc>
        <w:tc>
          <w:tcPr>
            <w:tcW w:w="1389" w:type="dxa"/>
            <w:tcBorders>
              <w:top w:val="nil"/>
              <w:left w:val="nil"/>
              <w:bottom w:val="nil"/>
              <w:right w:val="nil"/>
            </w:tcBorders>
            <w:shd w:val="clear" w:color="auto" w:fill="auto"/>
            <w:noWrap/>
            <w:vAlign w:val="bottom"/>
            <w:hideMark/>
          </w:tcPr>
          <w:p w14:paraId="552CA6A6"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0.001</w:t>
            </w:r>
          </w:p>
        </w:tc>
        <w:tc>
          <w:tcPr>
            <w:tcW w:w="1753" w:type="dxa"/>
            <w:tcBorders>
              <w:top w:val="nil"/>
              <w:left w:val="nil"/>
              <w:bottom w:val="nil"/>
              <w:right w:val="nil"/>
            </w:tcBorders>
            <w:shd w:val="clear" w:color="auto" w:fill="auto"/>
            <w:noWrap/>
            <w:vAlign w:val="bottom"/>
            <w:hideMark/>
          </w:tcPr>
          <w:p w14:paraId="2D020047" w14:textId="77777777" w:rsidR="004D18E0" w:rsidRPr="006A6C77" w:rsidRDefault="004D18E0" w:rsidP="0070368A">
            <w:pPr>
              <w:jc w:val="center"/>
              <w:rPr>
                <w:rFonts w:ascii="Arial" w:hAnsi="Arial"/>
                <w:color w:val="000000"/>
                <w:sz w:val="15"/>
                <w:szCs w:val="15"/>
              </w:rPr>
            </w:pPr>
            <w:r w:rsidRPr="006A6C77">
              <w:rPr>
                <w:rFonts w:ascii="Arial" w:hAnsi="Arial"/>
                <w:color w:val="000000"/>
                <w:sz w:val="15"/>
                <w:szCs w:val="15"/>
              </w:rPr>
              <w:t>0.1%</w:t>
            </w:r>
          </w:p>
        </w:tc>
        <w:tc>
          <w:tcPr>
            <w:tcW w:w="2224" w:type="dxa"/>
            <w:tcBorders>
              <w:top w:val="nil"/>
              <w:left w:val="nil"/>
              <w:bottom w:val="nil"/>
              <w:right w:val="nil"/>
            </w:tcBorders>
            <w:shd w:val="clear" w:color="auto" w:fill="auto"/>
            <w:noWrap/>
            <w:vAlign w:val="bottom"/>
            <w:hideMark/>
          </w:tcPr>
          <w:p w14:paraId="40D172B1" w14:textId="77777777" w:rsidR="004D18E0" w:rsidRPr="006A6C77" w:rsidRDefault="004D18E0" w:rsidP="0070368A">
            <w:pPr>
              <w:jc w:val="center"/>
              <w:rPr>
                <w:rFonts w:ascii="Arial" w:hAnsi="Arial"/>
                <w:color w:val="000000"/>
                <w:sz w:val="15"/>
                <w:szCs w:val="15"/>
              </w:rPr>
            </w:pPr>
            <w:r w:rsidRPr="006A6C77">
              <w:rPr>
                <w:rFonts w:ascii="Arial" w:hAnsi="Arial"/>
                <w:color w:val="000000"/>
                <w:sz w:val="15"/>
                <w:szCs w:val="15"/>
              </w:rPr>
              <w:t>0.1%</w:t>
            </w:r>
          </w:p>
        </w:tc>
      </w:tr>
      <w:tr w:rsidR="004D18E0" w:rsidRPr="00BC0A19" w14:paraId="6362A942" w14:textId="77777777" w:rsidTr="00041EE1">
        <w:trPr>
          <w:trHeight w:val="148"/>
        </w:trPr>
        <w:tc>
          <w:tcPr>
            <w:tcW w:w="1107" w:type="dxa"/>
            <w:tcBorders>
              <w:top w:val="nil"/>
              <w:left w:val="nil"/>
              <w:bottom w:val="nil"/>
              <w:right w:val="nil"/>
            </w:tcBorders>
            <w:shd w:val="clear" w:color="auto" w:fill="auto"/>
            <w:noWrap/>
            <w:vAlign w:val="bottom"/>
            <w:hideMark/>
          </w:tcPr>
          <w:p w14:paraId="65C66708"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Mercury</w:t>
            </w:r>
          </w:p>
        </w:tc>
        <w:tc>
          <w:tcPr>
            <w:tcW w:w="1035" w:type="dxa"/>
            <w:tcBorders>
              <w:top w:val="nil"/>
              <w:left w:val="nil"/>
              <w:bottom w:val="nil"/>
              <w:right w:val="nil"/>
            </w:tcBorders>
            <w:shd w:val="clear" w:color="auto" w:fill="auto"/>
            <w:noWrap/>
            <w:vAlign w:val="bottom"/>
            <w:hideMark/>
          </w:tcPr>
          <w:p w14:paraId="076B822A"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0.001</w:t>
            </w:r>
          </w:p>
        </w:tc>
        <w:tc>
          <w:tcPr>
            <w:tcW w:w="1433" w:type="dxa"/>
            <w:tcBorders>
              <w:top w:val="nil"/>
              <w:left w:val="nil"/>
              <w:bottom w:val="nil"/>
              <w:right w:val="nil"/>
            </w:tcBorders>
            <w:shd w:val="clear" w:color="auto" w:fill="auto"/>
            <w:noWrap/>
            <w:vAlign w:val="bottom"/>
            <w:hideMark/>
          </w:tcPr>
          <w:p w14:paraId="426D3A15"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0.49</w:t>
            </w:r>
          </w:p>
        </w:tc>
        <w:tc>
          <w:tcPr>
            <w:tcW w:w="1407" w:type="dxa"/>
            <w:tcBorders>
              <w:top w:val="nil"/>
              <w:left w:val="nil"/>
              <w:bottom w:val="nil"/>
              <w:right w:val="nil"/>
            </w:tcBorders>
            <w:shd w:val="clear" w:color="auto" w:fill="auto"/>
            <w:noWrap/>
            <w:vAlign w:val="bottom"/>
            <w:hideMark/>
          </w:tcPr>
          <w:p w14:paraId="735A13A3"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0.011</w:t>
            </w:r>
          </w:p>
        </w:tc>
        <w:tc>
          <w:tcPr>
            <w:tcW w:w="1389" w:type="dxa"/>
            <w:tcBorders>
              <w:top w:val="nil"/>
              <w:left w:val="nil"/>
              <w:bottom w:val="nil"/>
              <w:right w:val="nil"/>
            </w:tcBorders>
            <w:shd w:val="clear" w:color="auto" w:fill="auto"/>
            <w:noWrap/>
            <w:vAlign w:val="bottom"/>
            <w:hideMark/>
          </w:tcPr>
          <w:p w14:paraId="61B05683"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0.006</w:t>
            </w:r>
          </w:p>
        </w:tc>
        <w:tc>
          <w:tcPr>
            <w:tcW w:w="1753" w:type="dxa"/>
            <w:tcBorders>
              <w:top w:val="nil"/>
              <w:left w:val="nil"/>
              <w:bottom w:val="nil"/>
              <w:right w:val="nil"/>
            </w:tcBorders>
            <w:shd w:val="clear" w:color="auto" w:fill="auto"/>
            <w:noWrap/>
            <w:vAlign w:val="bottom"/>
            <w:hideMark/>
          </w:tcPr>
          <w:p w14:paraId="44F3DAFF" w14:textId="77777777" w:rsidR="004D18E0" w:rsidRPr="006A6C77" w:rsidRDefault="004D18E0" w:rsidP="0070368A">
            <w:pPr>
              <w:jc w:val="center"/>
              <w:rPr>
                <w:rFonts w:ascii="Arial" w:hAnsi="Arial"/>
                <w:color w:val="000000"/>
                <w:sz w:val="15"/>
                <w:szCs w:val="15"/>
              </w:rPr>
            </w:pPr>
            <w:r w:rsidRPr="006A6C77">
              <w:rPr>
                <w:rFonts w:ascii="Arial" w:hAnsi="Arial"/>
                <w:color w:val="000000"/>
                <w:sz w:val="15"/>
                <w:szCs w:val="15"/>
              </w:rPr>
              <w:t>1.2%</w:t>
            </w:r>
          </w:p>
        </w:tc>
        <w:tc>
          <w:tcPr>
            <w:tcW w:w="2224" w:type="dxa"/>
            <w:tcBorders>
              <w:top w:val="nil"/>
              <w:left w:val="nil"/>
              <w:bottom w:val="nil"/>
              <w:right w:val="nil"/>
            </w:tcBorders>
            <w:shd w:val="clear" w:color="auto" w:fill="auto"/>
            <w:noWrap/>
            <w:vAlign w:val="bottom"/>
            <w:hideMark/>
          </w:tcPr>
          <w:p w14:paraId="5A2548B2" w14:textId="77777777" w:rsidR="004D18E0" w:rsidRPr="006A6C77" w:rsidRDefault="004D18E0" w:rsidP="0070368A">
            <w:pPr>
              <w:jc w:val="center"/>
              <w:rPr>
                <w:rFonts w:ascii="Arial" w:hAnsi="Arial"/>
                <w:color w:val="000000"/>
                <w:sz w:val="15"/>
                <w:szCs w:val="15"/>
              </w:rPr>
            </w:pPr>
            <w:r w:rsidRPr="006A6C77">
              <w:rPr>
                <w:rFonts w:ascii="Arial" w:hAnsi="Arial"/>
                <w:color w:val="000000"/>
                <w:sz w:val="15"/>
                <w:szCs w:val="15"/>
              </w:rPr>
              <w:t>2.9%</w:t>
            </w:r>
          </w:p>
        </w:tc>
      </w:tr>
      <w:tr w:rsidR="004D18E0" w:rsidRPr="00BC0A19" w14:paraId="52C985B4" w14:textId="77777777" w:rsidTr="00041EE1">
        <w:trPr>
          <w:trHeight w:val="107"/>
        </w:trPr>
        <w:tc>
          <w:tcPr>
            <w:tcW w:w="1107" w:type="dxa"/>
            <w:tcBorders>
              <w:top w:val="nil"/>
              <w:left w:val="nil"/>
              <w:bottom w:val="nil"/>
              <w:right w:val="nil"/>
            </w:tcBorders>
            <w:shd w:val="clear" w:color="auto" w:fill="auto"/>
            <w:noWrap/>
            <w:vAlign w:val="bottom"/>
            <w:hideMark/>
          </w:tcPr>
          <w:p w14:paraId="5B042596"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Selenium</w:t>
            </w:r>
          </w:p>
        </w:tc>
        <w:tc>
          <w:tcPr>
            <w:tcW w:w="1035" w:type="dxa"/>
            <w:tcBorders>
              <w:top w:val="nil"/>
              <w:left w:val="nil"/>
              <w:bottom w:val="nil"/>
              <w:right w:val="nil"/>
            </w:tcBorders>
            <w:shd w:val="clear" w:color="auto" w:fill="auto"/>
            <w:noWrap/>
            <w:vAlign w:val="bottom"/>
            <w:hideMark/>
          </w:tcPr>
          <w:p w14:paraId="4922D8D0"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0.0125</w:t>
            </w:r>
          </w:p>
        </w:tc>
        <w:tc>
          <w:tcPr>
            <w:tcW w:w="1433" w:type="dxa"/>
            <w:tcBorders>
              <w:top w:val="nil"/>
              <w:left w:val="nil"/>
              <w:bottom w:val="nil"/>
              <w:right w:val="nil"/>
            </w:tcBorders>
            <w:shd w:val="clear" w:color="auto" w:fill="auto"/>
            <w:noWrap/>
            <w:vAlign w:val="bottom"/>
            <w:hideMark/>
          </w:tcPr>
          <w:p w14:paraId="58E47DED"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0.875</w:t>
            </w:r>
          </w:p>
        </w:tc>
        <w:tc>
          <w:tcPr>
            <w:tcW w:w="1407" w:type="dxa"/>
            <w:tcBorders>
              <w:top w:val="nil"/>
              <w:left w:val="nil"/>
              <w:bottom w:val="nil"/>
              <w:right w:val="nil"/>
            </w:tcBorders>
            <w:shd w:val="clear" w:color="auto" w:fill="auto"/>
            <w:noWrap/>
            <w:vAlign w:val="bottom"/>
            <w:hideMark/>
          </w:tcPr>
          <w:p w14:paraId="50BFC92F"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0.188</w:t>
            </w:r>
          </w:p>
        </w:tc>
        <w:tc>
          <w:tcPr>
            <w:tcW w:w="1389" w:type="dxa"/>
            <w:tcBorders>
              <w:top w:val="nil"/>
              <w:left w:val="nil"/>
              <w:bottom w:val="nil"/>
              <w:right w:val="nil"/>
            </w:tcBorders>
            <w:shd w:val="clear" w:color="auto" w:fill="auto"/>
            <w:noWrap/>
            <w:vAlign w:val="bottom"/>
            <w:hideMark/>
          </w:tcPr>
          <w:p w14:paraId="6895F2FA"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0.085</w:t>
            </w:r>
          </w:p>
        </w:tc>
        <w:tc>
          <w:tcPr>
            <w:tcW w:w="1753" w:type="dxa"/>
            <w:tcBorders>
              <w:top w:val="nil"/>
              <w:left w:val="nil"/>
              <w:bottom w:val="nil"/>
              <w:right w:val="nil"/>
            </w:tcBorders>
            <w:shd w:val="clear" w:color="auto" w:fill="auto"/>
            <w:noWrap/>
            <w:vAlign w:val="bottom"/>
            <w:hideMark/>
          </w:tcPr>
          <w:p w14:paraId="5B975808" w14:textId="77777777" w:rsidR="004D18E0" w:rsidRPr="006A6C77" w:rsidRDefault="004D18E0" w:rsidP="0070368A">
            <w:pPr>
              <w:jc w:val="center"/>
              <w:rPr>
                <w:rFonts w:ascii="Arial" w:hAnsi="Arial"/>
                <w:b/>
                <w:bCs/>
                <w:color w:val="000000"/>
                <w:sz w:val="15"/>
                <w:szCs w:val="15"/>
              </w:rPr>
            </w:pPr>
            <w:r w:rsidRPr="0012385D">
              <w:rPr>
                <w:rFonts w:ascii="Arial" w:hAnsi="Arial"/>
                <w:b/>
                <w:bCs/>
                <w:color w:val="000000" w:themeColor="text1"/>
                <w:sz w:val="15"/>
                <w:szCs w:val="15"/>
              </w:rPr>
              <w:t>9.7%</w:t>
            </w:r>
          </w:p>
        </w:tc>
        <w:tc>
          <w:tcPr>
            <w:tcW w:w="2224" w:type="dxa"/>
            <w:tcBorders>
              <w:top w:val="nil"/>
              <w:left w:val="nil"/>
              <w:bottom w:val="nil"/>
              <w:right w:val="nil"/>
            </w:tcBorders>
            <w:shd w:val="clear" w:color="auto" w:fill="auto"/>
            <w:noWrap/>
            <w:vAlign w:val="bottom"/>
            <w:hideMark/>
          </w:tcPr>
          <w:p w14:paraId="5819045F" w14:textId="77777777" w:rsidR="004D18E0" w:rsidRPr="006A6C77" w:rsidRDefault="004D18E0" w:rsidP="0070368A">
            <w:pPr>
              <w:jc w:val="center"/>
              <w:rPr>
                <w:rFonts w:ascii="Arial" w:hAnsi="Arial"/>
                <w:b/>
                <w:bCs/>
                <w:color w:val="000000"/>
                <w:sz w:val="15"/>
                <w:szCs w:val="15"/>
              </w:rPr>
            </w:pPr>
            <w:r w:rsidRPr="0012385D">
              <w:rPr>
                <w:rFonts w:ascii="Arial" w:hAnsi="Arial"/>
                <w:b/>
                <w:bCs/>
                <w:color w:val="000000" w:themeColor="text1"/>
                <w:sz w:val="15"/>
                <w:szCs w:val="15"/>
              </w:rPr>
              <w:t>22.7%</w:t>
            </w:r>
          </w:p>
        </w:tc>
      </w:tr>
      <w:tr w:rsidR="004D18E0" w:rsidRPr="00BC0A19" w14:paraId="24510F90" w14:textId="77777777" w:rsidTr="00041EE1">
        <w:trPr>
          <w:trHeight w:val="82"/>
        </w:trPr>
        <w:tc>
          <w:tcPr>
            <w:tcW w:w="1107" w:type="dxa"/>
            <w:tcBorders>
              <w:top w:val="nil"/>
              <w:left w:val="nil"/>
              <w:bottom w:val="single" w:sz="4" w:space="0" w:color="auto"/>
              <w:right w:val="nil"/>
            </w:tcBorders>
            <w:shd w:val="clear" w:color="auto" w:fill="auto"/>
            <w:noWrap/>
            <w:vAlign w:val="bottom"/>
            <w:hideMark/>
          </w:tcPr>
          <w:p w14:paraId="181B3863"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Zinc</w:t>
            </w:r>
          </w:p>
        </w:tc>
        <w:tc>
          <w:tcPr>
            <w:tcW w:w="1035" w:type="dxa"/>
            <w:tcBorders>
              <w:top w:val="nil"/>
              <w:left w:val="nil"/>
              <w:bottom w:val="single" w:sz="4" w:space="0" w:color="auto"/>
              <w:right w:val="nil"/>
            </w:tcBorders>
            <w:shd w:val="clear" w:color="auto" w:fill="auto"/>
            <w:noWrap/>
            <w:vAlign w:val="bottom"/>
            <w:hideMark/>
          </w:tcPr>
          <w:p w14:paraId="674EFA51"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na</w:t>
            </w:r>
            <w:proofErr w:type="spellEnd"/>
          </w:p>
        </w:tc>
        <w:tc>
          <w:tcPr>
            <w:tcW w:w="1433" w:type="dxa"/>
            <w:tcBorders>
              <w:top w:val="nil"/>
              <w:left w:val="nil"/>
              <w:bottom w:val="single" w:sz="4" w:space="0" w:color="auto"/>
              <w:right w:val="nil"/>
            </w:tcBorders>
            <w:shd w:val="clear" w:color="auto" w:fill="auto"/>
            <w:noWrap/>
            <w:vAlign w:val="bottom"/>
            <w:hideMark/>
          </w:tcPr>
          <w:p w14:paraId="5BE5D2C9"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na</w:t>
            </w:r>
            <w:proofErr w:type="spellEnd"/>
          </w:p>
        </w:tc>
        <w:tc>
          <w:tcPr>
            <w:tcW w:w="1407" w:type="dxa"/>
            <w:tcBorders>
              <w:top w:val="nil"/>
              <w:left w:val="nil"/>
              <w:bottom w:val="single" w:sz="4" w:space="0" w:color="auto"/>
              <w:right w:val="nil"/>
            </w:tcBorders>
            <w:shd w:val="clear" w:color="auto" w:fill="auto"/>
            <w:noWrap/>
            <w:vAlign w:val="bottom"/>
            <w:hideMark/>
          </w:tcPr>
          <w:p w14:paraId="1AD44F4D"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na</w:t>
            </w:r>
            <w:proofErr w:type="spellEnd"/>
          </w:p>
        </w:tc>
        <w:tc>
          <w:tcPr>
            <w:tcW w:w="1389" w:type="dxa"/>
            <w:tcBorders>
              <w:top w:val="nil"/>
              <w:left w:val="nil"/>
              <w:bottom w:val="single" w:sz="4" w:space="0" w:color="auto"/>
              <w:right w:val="nil"/>
            </w:tcBorders>
            <w:shd w:val="clear" w:color="auto" w:fill="auto"/>
            <w:noWrap/>
            <w:vAlign w:val="bottom"/>
            <w:hideMark/>
          </w:tcPr>
          <w:p w14:paraId="5DF2EE20"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2.2</w:t>
            </w:r>
          </w:p>
        </w:tc>
        <w:tc>
          <w:tcPr>
            <w:tcW w:w="1753" w:type="dxa"/>
            <w:tcBorders>
              <w:top w:val="nil"/>
              <w:left w:val="nil"/>
              <w:bottom w:val="single" w:sz="4" w:space="0" w:color="auto"/>
              <w:right w:val="nil"/>
            </w:tcBorders>
            <w:shd w:val="clear" w:color="auto" w:fill="auto"/>
            <w:noWrap/>
            <w:vAlign w:val="bottom"/>
            <w:hideMark/>
          </w:tcPr>
          <w:p w14:paraId="4BA62175" w14:textId="77777777" w:rsidR="004D18E0" w:rsidRPr="006A6C77" w:rsidRDefault="004D18E0" w:rsidP="0070368A">
            <w:pPr>
              <w:jc w:val="center"/>
              <w:rPr>
                <w:rFonts w:ascii="Arial" w:hAnsi="Arial"/>
                <w:color w:val="000000"/>
                <w:sz w:val="15"/>
                <w:szCs w:val="15"/>
              </w:rPr>
            </w:pPr>
            <w:proofErr w:type="spellStart"/>
            <w:r w:rsidRPr="006A6C77">
              <w:rPr>
                <w:rFonts w:ascii="Arial" w:hAnsi="Arial"/>
                <w:color w:val="000000"/>
                <w:sz w:val="15"/>
                <w:szCs w:val="15"/>
              </w:rPr>
              <w:t>na</w:t>
            </w:r>
            <w:proofErr w:type="spellEnd"/>
          </w:p>
        </w:tc>
        <w:tc>
          <w:tcPr>
            <w:tcW w:w="2224" w:type="dxa"/>
            <w:tcBorders>
              <w:top w:val="nil"/>
              <w:left w:val="nil"/>
              <w:bottom w:val="single" w:sz="4" w:space="0" w:color="auto"/>
              <w:right w:val="nil"/>
            </w:tcBorders>
            <w:shd w:val="clear" w:color="auto" w:fill="auto"/>
            <w:noWrap/>
            <w:vAlign w:val="bottom"/>
            <w:hideMark/>
          </w:tcPr>
          <w:p w14:paraId="3F5E6B8E" w14:textId="77777777" w:rsidR="004D18E0" w:rsidRPr="006A6C77" w:rsidRDefault="004D18E0" w:rsidP="0070368A">
            <w:pPr>
              <w:jc w:val="center"/>
              <w:rPr>
                <w:rFonts w:ascii="Arial" w:hAnsi="Arial"/>
                <w:color w:val="000000"/>
                <w:sz w:val="15"/>
                <w:szCs w:val="15"/>
              </w:rPr>
            </w:pPr>
            <w:proofErr w:type="spellStart"/>
            <w:r w:rsidRPr="006A6C77">
              <w:rPr>
                <w:rFonts w:ascii="Arial" w:hAnsi="Arial"/>
                <w:color w:val="000000"/>
                <w:sz w:val="15"/>
                <w:szCs w:val="15"/>
              </w:rPr>
              <w:t>na</w:t>
            </w:r>
            <w:proofErr w:type="spellEnd"/>
          </w:p>
        </w:tc>
      </w:tr>
    </w:tbl>
    <w:p w14:paraId="471BE96C" w14:textId="7AB4C14C" w:rsidR="004D18E0" w:rsidRDefault="004D18E0" w:rsidP="004D18E0">
      <w:pPr>
        <w:pStyle w:val="BodyText"/>
        <w:rPr>
          <w:b/>
          <w:bCs/>
          <w:sz w:val="24"/>
          <w:szCs w:val="26"/>
        </w:rPr>
      </w:pPr>
    </w:p>
    <w:p w14:paraId="2CDAB37B" w14:textId="1CB376B4" w:rsidR="004D18E0" w:rsidRPr="00F0105C" w:rsidRDefault="004D18E0" w:rsidP="004D18E0">
      <w:pPr>
        <w:pStyle w:val="BodyText"/>
        <w:rPr>
          <w:b/>
          <w:bCs/>
          <w:szCs w:val="20"/>
          <w:lang w:val="en-AU"/>
        </w:rPr>
      </w:pPr>
      <w:r w:rsidRPr="00002E15">
        <w:rPr>
          <w:rFonts w:ascii="VIC-Medium" w:eastAsiaTheme="majorEastAsia" w:hAnsi="VIC-Medium" w:cs="Times New Roman (Headings CS)"/>
          <w:color w:val="005FB4"/>
          <w:sz w:val="26"/>
          <w:szCs w:val="26"/>
          <w:lang w:val="en-AU" w:eastAsia="en-AU"/>
        </w:rPr>
        <w:t xml:space="preserve">Table 3. Food intake assessment for wild duck livers. </w:t>
      </w:r>
    </w:p>
    <w:p w14:paraId="5D24384B" w14:textId="77777777" w:rsidR="004D18E0" w:rsidRPr="0062553E" w:rsidRDefault="004D18E0" w:rsidP="0062553E">
      <w:pPr>
        <w:pStyle w:val="BodyText"/>
        <w:jc w:val="both"/>
        <w:rPr>
          <w:rFonts w:ascii="Arial" w:hAnsi="Arial" w:cs="Arial"/>
          <w:szCs w:val="20"/>
          <w:lang w:val="en-AU"/>
        </w:rPr>
      </w:pPr>
      <w:r w:rsidRPr="0062553E">
        <w:rPr>
          <w:rFonts w:ascii="Arial" w:hAnsi="Arial" w:cs="Arial"/>
          <w:szCs w:val="20"/>
          <w:lang w:val="en-AU"/>
        </w:rPr>
        <w:t xml:space="preserve">Food Standards Australia and New Zealand (FSANZ) tolerable limits were used to establish the daily limit percentage for each trace element in an example adult (70 kg adult, 100 g duck liver portion) and child (15 kg, 50 g duck liver portion). Daily limits were obtained from the </w:t>
      </w:r>
      <w:hyperlink r:id="rId25" w:history="1">
        <w:r w:rsidRPr="0062553E">
          <w:rPr>
            <w:rStyle w:val="Hyperlink"/>
            <w:rFonts w:ascii="Arial" w:hAnsi="Arial" w:cs="Arial"/>
            <w:szCs w:val="20"/>
            <w:lang w:val="en-AU"/>
          </w:rPr>
          <w:t>20</w:t>
        </w:r>
        <w:r w:rsidRPr="0062553E">
          <w:rPr>
            <w:rStyle w:val="Hyperlink"/>
            <w:rFonts w:ascii="Arial" w:hAnsi="Arial" w:cs="Arial"/>
            <w:szCs w:val="20"/>
            <w:vertAlign w:val="superscript"/>
            <w:lang w:val="en-AU"/>
          </w:rPr>
          <w:t>th</w:t>
        </w:r>
        <w:r w:rsidRPr="0062553E">
          <w:rPr>
            <w:rStyle w:val="Hyperlink"/>
            <w:rFonts w:ascii="Arial" w:hAnsi="Arial" w:cs="Arial"/>
            <w:szCs w:val="20"/>
            <w:lang w:val="en-AU"/>
          </w:rPr>
          <w:t xml:space="preserve"> Australian Total Diet Survey (Part B)</w:t>
        </w:r>
      </w:hyperlink>
      <w:r w:rsidRPr="0062553E">
        <w:rPr>
          <w:rFonts w:ascii="Arial" w:hAnsi="Arial" w:cs="Arial"/>
          <w:szCs w:val="20"/>
          <w:lang w:val="en-AU"/>
        </w:rPr>
        <w:t>. Where the amount of a trace element ingested from a single portion exceeds 5% of daily limit, or where a single portion serve would exceed 5% of the daily recommended limit, the number is indicated in bold. No guidelines are available for chromium and zinc. Note that the 5% threshold does not constitute advice for or against eating a given species or portion. Rather, it is to allow individuals to make informed decisions about inclusion of wild duck meat or liver in their diet. Chromium and zinc do not have daily dietary limits because the toxicity of these elements is sufficiently low relative to their abundance in a normal human diet that they are considered unlikely to pose a generalised health risk.</w:t>
      </w:r>
    </w:p>
    <w:p w14:paraId="74EFC162" w14:textId="17FAD326" w:rsidR="004D18E0" w:rsidRDefault="004D18E0" w:rsidP="004D18E0">
      <w:pPr>
        <w:pStyle w:val="BodyText"/>
        <w:rPr>
          <w:b/>
          <w:bCs/>
          <w:sz w:val="24"/>
          <w:szCs w:val="26"/>
        </w:rPr>
      </w:pPr>
    </w:p>
    <w:tbl>
      <w:tblPr>
        <w:tblW w:w="10206" w:type="dxa"/>
        <w:tblLook w:val="04A0" w:firstRow="1" w:lastRow="0" w:firstColumn="1" w:lastColumn="0" w:noHBand="0" w:noVBand="1"/>
      </w:tblPr>
      <w:tblGrid>
        <w:gridCol w:w="1045"/>
        <w:gridCol w:w="1041"/>
        <w:gridCol w:w="1442"/>
        <w:gridCol w:w="1416"/>
        <w:gridCol w:w="1398"/>
        <w:gridCol w:w="1764"/>
        <w:gridCol w:w="2100"/>
      </w:tblGrid>
      <w:tr w:rsidR="004D18E0" w:rsidRPr="00BC0A19" w14:paraId="5D01F97F" w14:textId="77777777" w:rsidTr="00041EE1">
        <w:trPr>
          <w:trHeight w:val="320"/>
        </w:trPr>
        <w:tc>
          <w:tcPr>
            <w:tcW w:w="1045" w:type="dxa"/>
            <w:vMerge w:val="restart"/>
            <w:tcBorders>
              <w:top w:val="single" w:sz="4" w:space="0" w:color="auto"/>
              <w:left w:val="nil"/>
              <w:bottom w:val="single" w:sz="4" w:space="0" w:color="000000"/>
              <w:right w:val="nil"/>
            </w:tcBorders>
            <w:shd w:val="clear" w:color="auto" w:fill="auto"/>
            <w:noWrap/>
            <w:vAlign w:val="center"/>
            <w:hideMark/>
          </w:tcPr>
          <w:p w14:paraId="1AB7551D" w14:textId="77777777" w:rsidR="004D18E0" w:rsidRPr="00BC0A19" w:rsidRDefault="004D18E0" w:rsidP="0070368A">
            <w:pPr>
              <w:rPr>
                <w:rFonts w:ascii="Arial" w:hAnsi="Arial"/>
                <w:b/>
                <w:bCs/>
                <w:color w:val="000000"/>
                <w:sz w:val="15"/>
                <w:szCs w:val="15"/>
              </w:rPr>
            </w:pPr>
            <w:r w:rsidRPr="00BC0A19">
              <w:rPr>
                <w:rFonts w:ascii="Arial" w:hAnsi="Arial"/>
                <w:b/>
                <w:bCs/>
                <w:color w:val="000000"/>
                <w:sz w:val="15"/>
                <w:szCs w:val="15"/>
              </w:rPr>
              <w:t>LIVER</w:t>
            </w:r>
          </w:p>
        </w:tc>
        <w:tc>
          <w:tcPr>
            <w:tcW w:w="3899" w:type="dxa"/>
            <w:gridSpan w:val="3"/>
            <w:tcBorders>
              <w:top w:val="single" w:sz="4" w:space="0" w:color="auto"/>
              <w:left w:val="nil"/>
              <w:bottom w:val="nil"/>
              <w:right w:val="nil"/>
            </w:tcBorders>
            <w:shd w:val="clear" w:color="auto" w:fill="auto"/>
            <w:noWrap/>
            <w:vAlign w:val="center"/>
            <w:hideMark/>
          </w:tcPr>
          <w:p w14:paraId="0649091D"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FSANZ Tolerable Levels</w:t>
            </w:r>
          </w:p>
        </w:tc>
        <w:tc>
          <w:tcPr>
            <w:tcW w:w="1398" w:type="dxa"/>
            <w:tcBorders>
              <w:top w:val="single" w:sz="4" w:space="0" w:color="auto"/>
              <w:left w:val="nil"/>
              <w:bottom w:val="nil"/>
              <w:right w:val="nil"/>
            </w:tcBorders>
            <w:shd w:val="clear" w:color="auto" w:fill="auto"/>
            <w:noWrap/>
            <w:vAlign w:val="center"/>
            <w:hideMark/>
          </w:tcPr>
          <w:p w14:paraId="3AEF4D44"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Median liver</w:t>
            </w:r>
          </w:p>
          <w:p w14:paraId="0973F83B"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100 g portion</w:t>
            </w:r>
          </w:p>
        </w:tc>
        <w:tc>
          <w:tcPr>
            <w:tcW w:w="1764" w:type="dxa"/>
            <w:tcBorders>
              <w:top w:val="single" w:sz="4" w:space="0" w:color="auto"/>
              <w:left w:val="nil"/>
              <w:bottom w:val="nil"/>
              <w:right w:val="nil"/>
            </w:tcBorders>
            <w:shd w:val="clear" w:color="auto" w:fill="auto"/>
            <w:noWrap/>
            <w:vAlign w:val="center"/>
            <w:hideMark/>
          </w:tcPr>
          <w:p w14:paraId="4106B0B2"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Percent Daily intake (70 kg adult)</w:t>
            </w:r>
          </w:p>
          <w:p w14:paraId="38B57E85"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(100 g portion)</w:t>
            </w:r>
          </w:p>
        </w:tc>
        <w:tc>
          <w:tcPr>
            <w:tcW w:w="2100" w:type="dxa"/>
            <w:tcBorders>
              <w:top w:val="single" w:sz="4" w:space="0" w:color="auto"/>
              <w:left w:val="nil"/>
              <w:bottom w:val="nil"/>
              <w:right w:val="nil"/>
            </w:tcBorders>
            <w:shd w:val="clear" w:color="auto" w:fill="auto"/>
            <w:noWrap/>
            <w:vAlign w:val="center"/>
            <w:hideMark/>
          </w:tcPr>
          <w:p w14:paraId="25C396B3"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Percent Daily intake</w:t>
            </w:r>
          </w:p>
          <w:p w14:paraId="5B791775"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(15 kg child)</w:t>
            </w:r>
          </w:p>
          <w:p w14:paraId="4F85D9D1"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(50 g portion)</w:t>
            </w:r>
          </w:p>
        </w:tc>
      </w:tr>
      <w:tr w:rsidR="004D18E0" w:rsidRPr="00BC0A19" w14:paraId="688464AB" w14:textId="77777777" w:rsidTr="00041EE1">
        <w:trPr>
          <w:trHeight w:val="320"/>
        </w:trPr>
        <w:tc>
          <w:tcPr>
            <w:tcW w:w="1045" w:type="dxa"/>
            <w:vMerge/>
            <w:tcBorders>
              <w:top w:val="single" w:sz="4" w:space="0" w:color="auto"/>
              <w:left w:val="nil"/>
              <w:bottom w:val="single" w:sz="4" w:space="0" w:color="000000"/>
              <w:right w:val="nil"/>
            </w:tcBorders>
            <w:vAlign w:val="center"/>
            <w:hideMark/>
          </w:tcPr>
          <w:p w14:paraId="2FCD5D6C" w14:textId="77777777" w:rsidR="004D18E0" w:rsidRPr="00BC0A19" w:rsidRDefault="004D18E0" w:rsidP="0070368A">
            <w:pPr>
              <w:jc w:val="center"/>
              <w:rPr>
                <w:rFonts w:ascii="Arial" w:hAnsi="Arial"/>
                <w:b/>
                <w:bCs/>
                <w:color w:val="000000"/>
                <w:sz w:val="15"/>
                <w:szCs w:val="15"/>
              </w:rPr>
            </w:pPr>
          </w:p>
        </w:tc>
        <w:tc>
          <w:tcPr>
            <w:tcW w:w="1041" w:type="dxa"/>
            <w:tcBorders>
              <w:top w:val="nil"/>
              <w:left w:val="nil"/>
              <w:bottom w:val="single" w:sz="4" w:space="0" w:color="auto"/>
              <w:right w:val="nil"/>
            </w:tcBorders>
            <w:shd w:val="clear" w:color="auto" w:fill="auto"/>
            <w:noWrap/>
            <w:vAlign w:val="center"/>
            <w:hideMark/>
          </w:tcPr>
          <w:p w14:paraId="7485BB5E"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 xml:space="preserve">mg/kg </w:t>
            </w:r>
            <w:proofErr w:type="spellStart"/>
            <w:r w:rsidRPr="00BC0A19">
              <w:rPr>
                <w:rFonts w:ascii="Arial" w:hAnsi="Arial"/>
                <w:b/>
                <w:bCs/>
                <w:color w:val="000000"/>
                <w:sz w:val="15"/>
                <w:szCs w:val="15"/>
              </w:rPr>
              <w:t>bw</w:t>
            </w:r>
            <w:proofErr w:type="spellEnd"/>
            <w:r w:rsidRPr="00BC0A19">
              <w:rPr>
                <w:rFonts w:ascii="Arial" w:hAnsi="Arial"/>
                <w:b/>
                <w:bCs/>
                <w:color w:val="000000"/>
                <w:sz w:val="15"/>
                <w:szCs w:val="15"/>
              </w:rPr>
              <w:t>/day</w:t>
            </w:r>
          </w:p>
        </w:tc>
        <w:tc>
          <w:tcPr>
            <w:tcW w:w="1442" w:type="dxa"/>
            <w:tcBorders>
              <w:top w:val="nil"/>
              <w:left w:val="nil"/>
              <w:bottom w:val="single" w:sz="4" w:space="0" w:color="auto"/>
              <w:right w:val="nil"/>
            </w:tcBorders>
            <w:shd w:val="clear" w:color="auto" w:fill="auto"/>
            <w:noWrap/>
            <w:vAlign w:val="center"/>
            <w:hideMark/>
          </w:tcPr>
          <w:p w14:paraId="4971FBC2"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70 kg adult (mg/day)</w:t>
            </w:r>
          </w:p>
        </w:tc>
        <w:tc>
          <w:tcPr>
            <w:tcW w:w="1416" w:type="dxa"/>
            <w:tcBorders>
              <w:top w:val="nil"/>
              <w:left w:val="nil"/>
              <w:bottom w:val="single" w:sz="4" w:space="0" w:color="auto"/>
              <w:right w:val="nil"/>
            </w:tcBorders>
            <w:shd w:val="clear" w:color="auto" w:fill="auto"/>
            <w:noWrap/>
            <w:vAlign w:val="center"/>
            <w:hideMark/>
          </w:tcPr>
          <w:p w14:paraId="34D42FFF" w14:textId="77777777" w:rsidR="004D18E0" w:rsidRPr="00BC0A19" w:rsidRDefault="004D18E0" w:rsidP="0070368A">
            <w:pPr>
              <w:jc w:val="center"/>
              <w:rPr>
                <w:rFonts w:ascii="Arial" w:hAnsi="Arial"/>
                <w:b/>
                <w:bCs/>
                <w:color w:val="000000"/>
                <w:sz w:val="15"/>
                <w:szCs w:val="15"/>
              </w:rPr>
            </w:pPr>
            <w:r w:rsidRPr="00BC0A19">
              <w:rPr>
                <w:rFonts w:ascii="Arial" w:hAnsi="Arial"/>
                <w:b/>
                <w:bCs/>
                <w:color w:val="000000"/>
                <w:sz w:val="15"/>
                <w:szCs w:val="15"/>
              </w:rPr>
              <w:t>15 kg child (mg/day)</w:t>
            </w:r>
          </w:p>
        </w:tc>
        <w:tc>
          <w:tcPr>
            <w:tcW w:w="1398" w:type="dxa"/>
            <w:tcBorders>
              <w:top w:val="nil"/>
              <w:left w:val="nil"/>
              <w:bottom w:val="single" w:sz="4" w:space="0" w:color="auto"/>
              <w:right w:val="nil"/>
            </w:tcBorders>
            <w:shd w:val="clear" w:color="auto" w:fill="auto"/>
            <w:noWrap/>
            <w:vAlign w:val="center"/>
            <w:hideMark/>
          </w:tcPr>
          <w:p w14:paraId="4B422067" w14:textId="77777777" w:rsidR="004D18E0" w:rsidRPr="00BC0A19" w:rsidRDefault="004D18E0" w:rsidP="0070368A">
            <w:pPr>
              <w:jc w:val="center"/>
              <w:rPr>
                <w:rFonts w:ascii="Arial" w:hAnsi="Arial"/>
                <w:b/>
                <w:bCs/>
                <w:color w:val="000000"/>
                <w:sz w:val="15"/>
                <w:szCs w:val="15"/>
              </w:rPr>
            </w:pPr>
          </w:p>
        </w:tc>
        <w:tc>
          <w:tcPr>
            <w:tcW w:w="1764" w:type="dxa"/>
            <w:tcBorders>
              <w:top w:val="nil"/>
              <w:left w:val="nil"/>
              <w:bottom w:val="single" w:sz="4" w:space="0" w:color="auto"/>
              <w:right w:val="nil"/>
            </w:tcBorders>
            <w:shd w:val="clear" w:color="auto" w:fill="auto"/>
            <w:noWrap/>
            <w:vAlign w:val="center"/>
            <w:hideMark/>
          </w:tcPr>
          <w:p w14:paraId="42E1F64B" w14:textId="77777777" w:rsidR="004D18E0" w:rsidRPr="00BC0A19" w:rsidRDefault="004D18E0" w:rsidP="0070368A">
            <w:pPr>
              <w:jc w:val="center"/>
              <w:rPr>
                <w:rFonts w:ascii="Arial" w:hAnsi="Arial"/>
                <w:b/>
                <w:bCs/>
                <w:color w:val="000000"/>
                <w:sz w:val="15"/>
                <w:szCs w:val="15"/>
              </w:rPr>
            </w:pPr>
          </w:p>
        </w:tc>
        <w:tc>
          <w:tcPr>
            <w:tcW w:w="2100" w:type="dxa"/>
            <w:tcBorders>
              <w:top w:val="nil"/>
              <w:left w:val="nil"/>
              <w:bottom w:val="single" w:sz="4" w:space="0" w:color="auto"/>
              <w:right w:val="nil"/>
            </w:tcBorders>
            <w:shd w:val="clear" w:color="auto" w:fill="auto"/>
            <w:noWrap/>
            <w:vAlign w:val="center"/>
            <w:hideMark/>
          </w:tcPr>
          <w:p w14:paraId="71B28425" w14:textId="77777777" w:rsidR="004D18E0" w:rsidRPr="00BC0A19" w:rsidRDefault="004D18E0" w:rsidP="0070368A">
            <w:pPr>
              <w:jc w:val="center"/>
              <w:rPr>
                <w:rFonts w:ascii="Arial" w:hAnsi="Arial"/>
                <w:b/>
                <w:bCs/>
                <w:color w:val="000000"/>
                <w:sz w:val="15"/>
                <w:szCs w:val="15"/>
              </w:rPr>
            </w:pPr>
          </w:p>
        </w:tc>
      </w:tr>
      <w:tr w:rsidR="004D18E0" w:rsidRPr="00BC0A19" w14:paraId="58DBC8E6" w14:textId="77777777" w:rsidTr="00041EE1">
        <w:trPr>
          <w:trHeight w:val="131"/>
        </w:trPr>
        <w:tc>
          <w:tcPr>
            <w:tcW w:w="1045" w:type="dxa"/>
            <w:tcBorders>
              <w:top w:val="nil"/>
              <w:left w:val="nil"/>
              <w:bottom w:val="nil"/>
              <w:right w:val="nil"/>
            </w:tcBorders>
            <w:shd w:val="clear" w:color="auto" w:fill="auto"/>
            <w:noWrap/>
            <w:hideMark/>
          </w:tcPr>
          <w:p w14:paraId="3A16DD3F"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Arsenic</w:t>
            </w:r>
          </w:p>
        </w:tc>
        <w:tc>
          <w:tcPr>
            <w:tcW w:w="1041" w:type="dxa"/>
            <w:tcBorders>
              <w:top w:val="nil"/>
              <w:left w:val="nil"/>
              <w:bottom w:val="nil"/>
              <w:right w:val="nil"/>
            </w:tcBorders>
            <w:shd w:val="clear" w:color="auto" w:fill="auto"/>
            <w:noWrap/>
            <w:vAlign w:val="bottom"/>
            <w:hideMark/>
          </w:tcPr>
          <w:p w14:paraId="1A328DA9"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0.003</w:t>
            </w:r>
          </w:p>
        </w:tc>
        <w:tc>
          <w:tcPr>
            <w:tcW w:w="1442" w:type="dxa"/>
            <w:tcBorders>
              <w:top w:val="nil"/>
              <w:left w:val="nil"/>
              <w:bottom w:val="nil"/>
              <w:right w:val="nil"/>
            </w:tcBorders>
            <w:shd w:val="clear" w:color="auto" w:fill="auto"/>
            <w:noWrap/>
            <w:vAlign w:val="bottom"/>
            <w:hideMark/>
          </w:tcPr>
          <w:p w14:paraId="207142B8"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0.21</w:t>
            </w:r>
          </w:p>
        </w:tc>
        <w:tc>
          <w:tcPr>
            <w:tcW w:w="1416" w:type="dxa"/>
            <w:tcBorders>
              <w:top w:val="nil"/>
              <w:left w:val="nil"/>
              <w:bottom w:val="nil"/>
              <w:right w:val="nil"/>
            </w:tcBorders>
            <w:shd w:val="clear" w:color="auto" w:fill="auto"/>
            <w:noWrap/>
            <w:vAlign w:val="bottom"/>
            <w:hideMark/>
          </w:tcPr>
          <w:p w14:paraId="34195AC5"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0.045</w:t>
            </w:r>
          </w:p>
        </w:tc>
        <w:tc>
          <w:tcPr>
            <w:tcW w:w="1398" w:type="dxa"/>
            <w:tcBorders>
              <w:top w:val="nil"/>
              <w:left w:val="nil"/>
              <w:bottom w:val="nil"/>
              <w:right w:val="nil"/>
            </w:tcBorders>
            <w:shd w:val="clear" w:color="auto" w:fill="auto"/>
            <w:noWrap/>
            <w:vAlign w:val="bottom"/>
            <w:hideMark/>
          </w:tcPr>
          <w:p w14:paraId="4BBC0DCF"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0.015</w:t>
            </w:r>
          </w:p>
        </w:tc>
        <w:tc>
          <w:tcPr>
            <w:tcW w:w="1764" w:type="dxa"/>
            <w:tcBorders>
              <w:top w:val="nil"/>
              <w:left w:val="nil"/>
              <w:bottom w:val="nil"/>
              <w:right w:val="nil"/>
            </w:tcBorders>
            <w:shd w:val="clear" w:color="auto" w:fill="FFFFFF" w:themeFill="background1"/>
            <w:noWrap/>
            <w:vAlign w:val="bottom"/>
            <w:hideMark/>
          </w:tcPr>
          <w:p w14:paraId="086A9AAA" w14:textId="77777777" w:rsidR="004D18E0" w:rsidRPr="008D6A42" w:rsidRDefault="004D18E0" w:rsidP="0070368A">
            <w:pPr>
              <w:jc w:val="center"/>
              <w:rPr>
                <w:rFonts w:ascii="Arial" w:hAnsi="Arial"/>
                <w:color w:val="000000"/>
                <w:sz w:val="15"/>
                <w:szCs w:val="15"/>
              </w:rPr>
            </w:pPr>
            <w:r w:rsidRPr="008D6A42">
              <w:rPr>
                <w:rFonts w:ascii="Arial" w:hAnsi="Arial"/>
                <w:color w:val="000000"/>
                <w:sz w:val="15"/>
                <w:szCs w:val="15"/>
              </w:rPr>
              <w:t>3.6%</w:t>
            </w:r>
          </w:p>
        </w:tc>
        <w:tc>
          <w:tcPr>
            <w:tcW w:w="2100" w:type="dxa"/>
            <w:tcBorders>
              <w:top w:val="nil"/>
              <w:left w:val="nil"/>
              <w:bottom w:val="nil"/>
              <w:right w:val="nil"/>
            </w:tcBorders>
            <w:shd w:val="clear" w:color="auto" w:fill="FFFFFF" w:themeFill="background1"/>
            <w:noWrap/>
            <w:vAlign w:val="bottom"/>
            <w:hideMark/>
          </w:tcPr>
          <w:p w14:paraId="7CBC24C6" w14:textId="77777777" w:rsidR="004D18E0" w:rsidRPr="0069160B" w:rsidRDefault="004D18E0" w:rsidP="0070368A">
            <w:pPr>
              <w:jc w:val="center"/>
              <w:rPr>
                <w:rFonts w:ascii="Arial" w:hAnsi="Arial"/>
                <w:b/>
                <w:bCs/>
                <w:color w:val="000000" w:themeColor="text1"/>
                <w:sz w:val="15"/>
                <w:szCs w:val="15"/>
              </w:rPr>
            </w:pPr>
            <w:r w:rsidRPr="0069160B">
              <w:rPr>
                <w:rFonts w:ascii="Arial" w:hAnsi="Arial"/>
                <w:b/>
                <w:bCs/>
                <w:color w:val="000000" w:themeColor="text1"/>
                <w:sz w:val="15"/>
                <w:szCs w:val="15"/>
              </w:rPr>
              <w:t>8.3%</w:t>
            </w:r>
          </w:p>
        </w:tc>
      </w:tr>
      <w:tr w:rsidR="004D18E0" w:rsidRPr="00BC0A19" w14:paraId="3984966F" w14:textId="77777777" w:rsidTr="00041EE1">
        <w:trPr>
          <w:trHeight w:val="60"/>
        </w:trPr>
        <w:tc>
          <w:tcPr>
            <w:tcW w:w="1045" w:type="dxa"/>
            <w:tcBorders>
              <w:top w:val="nil"/>
              <w:left w:val="nil"/>
              <w:bottom w:val="nil"/>
              <w:right w:val="nil"/>
            </w:tcBorders>
            <w:shd w:val="clear" w:color="auto" w:fill="auto"/>
            <w:noWrap/>
            <w:hideMark/>
          </w:tcPr>
          <w:p w14:paraId="02B6FAE5"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Cadmium</w:t>
            </w:r>
          </w:p>
        </w:tc>
        <w:tc>
          <w:tcPr>
            <w:tcW w:w="1041" w:type="dxa"/>
            <w:tcBorders>
              <w:top w:val="nil"/>
              <w:left w:val="nil"/>
              <w:bottom w:val="nil"/>
              <w:right w:val="nil"/>
            </w:tcBorders>
            <w:shd w:val="clear" w:color="auto" w:fill="auto"/>
            <w:noWrap/>
            <w:vAlign w:val="bottom"/>
            <w:hideMark/>
          </w:tcPr>
          <w:p w14:paraId="40C3E6C7"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0.007</w:t>
            </w:r>
          </w:p>
        </w:tc>
        <w:tc>
          <w:tcPr>
            <w:tcW w:w="1442" w:type="dxa"/>
            <w:tcBorders>
              <w:top w:val="nil"/>
              <w:left w:val="nil"/>
              <w:bottom w:val="nil"/>
              <w:right w:val="nil"/>
            </w:tcBorders>
            <w:shd w:val="clear" w:color="auto" w:fill="auto"/>
            <w:noWrap/>
            <w:vAlign w:val="bottom"/>
            <w:hideMark/>
          </w:tcPr>
          <w:p w14:paraId="367933FE"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0.49</w:t>
            </w:r>
          </w:p>
        </w:tc>
        <w:tc>
          <w:tcPr>
            <w:tcW w:w="1416" w:type="dxa"/>
            <w:tcBorders>
              <w:top w:val="nil"/>
              <w:left w:val="nil"/>
              <w:bottom w:val="nil"/>
              <w:right w:val="nil"/>
            </w:tcBorders>
            <w:shd w:val="clear" w:color="auto" w:fill="auto"/>
            <w:noWrap/>
            <w:vAlign w:val="bottom"/>
            <w:hideMark/>
          </w:tcPr>
          <w:p w14:paraId="62CC5DA1"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0.105</w:t>
            </w:r>
          </w:p>
        </w:tc>
        <w:tc>
          <w:tcPr>
            <w:tcW w:w="1398" w:type="dxa"/>
            <w:tcBorders>
              <w:top w:val="nil"/>
              <w:left w:val="nil"/>
              <w:bottom w:val="nil"/>
              <w:right w:val="nil"/>
            </w:tcBorders>
            <w:shd w:val="clear" w:color="auto" w:fill="auto"/>
            <w:noWrap/>
            <w:vAlign w:val="bottom"/>
            <w:hideMark/>
          </w:tcPr>
          <w:p w14:paraId="5530D8D5"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0.041</w:t>
            </w:r>
          </w:p>
        </w:tc>
        <w:tc>
          <w:tcPr>
            <w:tcW w:w="1764" w:type="dxa"/>
            <w:tcBorders>
              <w:top w:val="nil"/>
              <w:left w:val="nil"/>
              <w:bottom w:val="nil"/>
              <w:right w:val="nil"/>
            </w:tcBorders>
            <w:shd w:val="clear" w:color="auto" w:fill="FFFFFF" w:themeFill="background1"/>
            <w:noWrap/>
            <w:vAlign w:val="bottom"/>
            <w:hideMark/>
          </w:tcPr>
          <w:p w14:paraId="4DFB3A12" w14:textId="77777777" w:rsidR="004D18E0" w:rsidRPr="008D6A42" w:rsidRDefault="004D18E0" w:rsidP="0070368A">
            <w:pPr>
              <w:jc w:val="center"/>
              <w:rPr>
                <w:rFonts w:ascii="Arial" w:hAnsi="Arial"/>
                <w:color w:val="000000"/>
                <w:sz w:val="15"/>
                <w:szCs w:val="15"/>
              </w:rPr>
            </w:pPr>
            <w:r w:rsidRPr="008D6A42">
              <w:rPr>
                <w:rFonts w:ascii="Arial" w:hAnsi="Arial"/>
                <w:color w:val="000000"/>
                <w:sz w:val="15"/>
                <w:szCs w:val="15"/>
              </w:rPr>
              <w:t>4.2%</w:t>
            </w:r>
          </w:p>
        </w:tc>
        <w:tc>
          <w:tcPr>
            <w:tcW w:w="2100" w:type="dxa"/>
            <w:tcBorders>
              <w:top w:val="nil"/>
              <w:left w:val="nil"/>
              <w:bottom w:val="nil"/>
              <w:right w:val="nil"/>
            </w:tcBorders>
            <w:shd w:val="clear" w:color="auto" w:fill="FFFFFF" w:themeFill="background1"/>
            <w:noWrap/>
            <w:vAlign w:val="bottom"/>
            <w:hideMark/>
          </w:tcPr>
          <w:p w14:paraId="39EFA473" w14:textId="77777777" w:rsidR="004D18E0" w:rsidRPr="0069160B" w:rsidRDefault="004D18E0" w:rsidP="0070368A">
            <w:pPr>
              <w:jc w:val="center"/>
              <w:rPr>
                <w:rFonts w:ascii="Arial" w:hAnsi="Arial"/>
                <w:b/>
                <w:bCs/>
                <w:color w:val="000000" w:themeColor="text1"/>
                <w:sz w:val="15"/>
                <w:szCs w:val="15"/>
              </w:rPr>
            </w:pPr>
            <w:r w:rsidRPr="0069160B">
              <w:rPr>
                <w:rFonts w:ascii="Arial" w:hAnsi="Arial"/>
                <w:b/>
                <w:bCs/>
                <w:color w:val="000000" w:themeColor="text1"/>
                <w:sz w:val="15"/>
                <w:szCs w:val="15"/>
              </w:rPr>
              <w:t>9.8%</w:t>
            </w:r>
          </w:p>
        </w:tc>
      </w:tr>
      <w:tr w:rsidR="004D18E0" w:rsidRPr="00BC0A19" w14:paraId="050FF0FC" w14:textId="77777777" w:rsidTr="00041EE1">
        <w:trPr>
          <w:trHeight w:val="60"/>
        </w:trPr>
        <w:tc>
          <w:tcPr>
            <w:tcW w:w="1045" w:type="dxa"/>
            <w:tcBorders>
              <w:top w:val="nil"/>
              <w:left w:val="nil"/>
              <w:bottom w:val="nil"/>
              <w:right w:val="nil"/>
            </w:tcBorders>
            <w:shd w:val="clear" w:color="auto" w:fill="auto"/>
            <w:noWrap/>
            <w:hideMark/>
          </w:tcPr>
          <w:p w14:paraId="2E8C052E"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Chromium</w:t>
            </w:r>
          </w:p>
        </w:tc>
        <w:tc>
          <w:tcPr>
            <w:tcW w:w="1041" w:type="dxa"/>
            <w:tcBorders>
              <w:top w:val="nil"/>
              <w:left w:val="nil"/>
              <w:bottom w:val="nil"/>
              <w:right w:val="nil"/>
            </w:tcBorders>
            <w:shd w:val="clear" w:color="auto" w:fill="auto"/>
            <w:noWrap/>
            <w:vAlign w:val="bottom"/>
            <w:hideMark/>
          </w:tcPr>
          <w:p w14:paraId="4CAF7BEB"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na</w:t>
            </w:r>
            <w:proofErr w:type="spellEnd"/>
          </w:p>
        </w:tc>
        <w:tc>
          <w:tcPr>
            <w:tcW w:w="1442" w:type="dxa"/>
            <w:tcBorders>
              <w:top w:val="nil"/>
              <w:left w:val="nil"/>
              <w:bottom w:val="nil"/>
              <w:right w:val="nil"/>
            </w:tcBorders>
            <w:shd w:val="clear" w:color="auto" w:fill="auto"/>
            <w:noWrap/>
            <w:vAlign w:val="bottom"/>
            <w:hideMark/>
          </w:tcPr>
          <w:p w14:paraId="0331C7C8"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na</w:t>
            </w:r>
            <w:proofErr w:type="spellEnd"/>
          </w:p>
        </w:tc>
        <w:tc>
          <w:tcPr>
            <w:tcW w:w="1416" w:type="dxa"/>
            <w:tcBorders>
              <w:top w:val="nil"/>
              <w:left w:val="nil"/>
              <w:bottom w:val="nil"/>
              <w:right w:val="nil"/>
            </w:tcBorders>
            <w:shd w:val="clear" w:color="auto" w:fill="auto"/>
            <w:noWrap/>
            <w:vAlign w:val="bottom"/>
            <w:hideMark/>
          </w:tcPr>
          <w:p w14:paraId="27C9FC3B"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na</w:t>
            </w:r>
            <w:proofErr w:type="spellEnd"/>
          </w:p>
        </w:tc>
        <w:tc>
          <w:tcPr>
            <w:tcW w:w="1398" w:type="dxa"/>
            <w:tcBorders>
              <w:top w:val="nil"/>
              <w:left w:val="nil"/>
              <w:bottom w:val="nil"/>
              <w:right w:val="nil"/>
            </w:tcBorders>
            <w:shd w:val="clear" w:color="auto" w:fill="auto"/>
            <w:noWrap/>
            <w:vAlign w:val="bottom"/>
            <w:hideMark/>
          </w:tcPr>
          <w:p w14:paraId="0ADE1C3C"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0.005</w:t>
            </w:r>
          </w:p>
        </w:tc>
        <w:tc>
          <w:tcPr>
            <w:tcW w:w="1764" w:type="dxa"/>
            <w:tcBorders>
              <w:top w:val="nil"/>
              <w:left w:val="nil"/>
              <w:bottom w:val="nil"/>
              <w:right w:val="nil"/>
            </w:tcBorders>
            <w:shd w:val="clear" w:color="auto" w:fill="FFFFFF" w:themeFill="background1"/>
            <w:noWrap/>
            <w:vAlign w:val="bottom"/>
            <w:hideMark/>
          </w:tcPr>
          <w:p w14:paraId="05EDE824" w14:textId="77777777" w:rsidR="004D18E0" w:rsidRPr="008D6A42" w:rsidRDefault="004D18E0" w:rsidP="0070368A">
            <w:pPr>
              <w:jc w:val="center"/>
              <w:rPr>
                <w:rFonts w:ascii="Arial" w:hAnsi="Arial"/>
                <w:color w:val="000000"/>
                <w:sz w:val="15"/>
                <w:szCs w:val="15"/>
              </w:rPr>
            </w:pPr>
            <w:proofErr w:type="spellStart"/>
            <w:r w:rsidRPr="008D6A42">
              <w:rPr>
                <w:rFonts w:ascii="Arial" w:hAnsi="Arial"/>
                <w:color w:val="000000"/>
                <w:sz w:val="15"/>
                <w:szCs w:val="15"/>
              </w:rPr>
              <w:t>na</w:t>
            </w:r>
            <w:proofErr w:type="spellEnd"/>
          </w:p>
        </w:tc>
        <w:tc>
          <w:tcPr>
            <w:tcW w:w="2100" w:type="dxa"/>
            <w:tcBorders>
              <w:top w:val="nil"/>
              <w:left w:val="nil"/>
              <w:bottom w:val="nil"/>
              <w:right w:val="nil"/>
            </w:tcBorders>
            <w:shd w:val="clear" w:color="auto" w:fill="FFFFFF" w:themeFill="background1"/>
            <w:noWrap/>
            <w:vAlign w:val="bottom"/>
            <w:hideMark/>
          </w:tcPr>
          <w:p w14:paraId="12EF655A" w14:textId="77777777" w:rsidR="004D18E0" w:rsidRPr="008D6A42" w:rsidRDefault="004D18E0" w:rsidP="0070368A">
            <w:pPr>
              <w:jc w:val="center"/>
              <w:rPr>
                <w:rFonts w:ascii="Arial" w:hAnsi="Arial"/>
                <w:color w:val="000000"/>
                <w:sz w:val="15"/>
                <w:szCs w:val="15"/>
              </w:rPr>
            </w:pPr>
            <w:proofErr w:type="spellStart"/>
            <w:r w:rsidRPr="008D6A42">
              <w:rPr>
                <w:rFonts w:ascii="Arial" w:hAnsi="Arial"/>
                <w:color w:val="000000"/>
                <w:sz w:val="15"/>
                <w:szCs w:val="15"/>
              </w:rPr>
              <w:t>na</w:t>
            </w:r>
            <w:proofErr w:type="spellEnd"/>
          </w:p>
        </w:tc>
      </w:tr>
      <w:tr w:rsidR="004D18E0" w:rsidRPr="00BC0A19" w14:paraId="22285255" w14:textId="77777777" w:rsidTr="00041EE1">
        <w:trPr>
          <w:trHeight w:val="60"/>
        </w:trPr>
        <w:tc>
          <w:tcPr>
            <w:tcW w:w="1045" w:type="dxa"/>
            <w:tcBorders>
              <w:top w:val="nil"/>
              <w:left w:val="nil"/>
              <w:bottom w:val="nil"/>
              <w:right w:val="nil"/>
            </w:tcBorders>
            <w:shd w:val="clear" w:color="auto" w:fill="auto"/>
            <w:noWrap/>
            <w:hideMark/>
          </w:tcPr>
          <w:p w14:paraId="4F9CAB5E"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Copper</w:t>
            </w:r>
          </w:p>
        </w:tc>
        <w:tc>
          <w:tcPr>
            <w:tcW w:w="1041" w:type="dxa"/>
            <w:tcBorders>
              <w:top w:val="nil"/>
              <w:left w:val="nil"/>
              <w:bottom w:val="nil"/>
              <w:right w:val="nil"/>
            </w:tcBorders>
            <w:shd w:val="clear" w:color="auto" w:fill="auto"/>
            <w:noWrap/>
            <w:vAlign w:val="bottom"/>
            <w:hideMark/>
          </w:tcPr>
          <w:p w14:paraId="48671B5A"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0.200</w:t>
            </w:r>
          </w:p>
        </w:tc>
        <w:tc>
          <w:tcPr>
            <w:tcW w:w="1442" w:type="dxa"/>
            <w:tcBorders>
              <w:top w:val="nil"/>
              <w:left w:val="nil"/>
              <w:bottom w:val="nil"/>
              <w:right w:val="nil"/>
            </w:tcBorders>
            <w:shd w:val="clear" w:color="auto" w:fill="auto"/>
            <w:noWrap/>
            <w:vAlign w:val="bottom"/>
            <w:hideMark/>
          </w:tcPr>
          <w:p w14:paraId="36911C3E"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14</w:t>
            </w:r>
          </w:p>
        </w:tc>
        <w:tc>
          <w:tcPr>
            <w:tcW w:w="1416" w:type="dxa"/>
            <w:tcBorders>
              <w:top w:val="nil"/>
              <w:left w:val="nil"/>
              <w:bottom w:val="nil"/>
              <w:right w:val="nil"/>
            </w:tcBorders>
            <w:shd w:val="clear" w:color="auto" w:fill="auto"/>
            <w:noWrap/>
            <w:vAlign w:val="bottom"/>
            <w:hideMark/>
          </w:tcPr>
          <w:p w14:paraId="77F55A7A"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3</w:t>
            </w:r>
          </w:p>
        </w:tc>
        <w:tc>
          <w:tcPr>
            <w:tcW w:w="1398" w:type="dxa"/>
            <w:tcBorders>
              <w:top w:val="nil"/>
              <w:left w:val="nil"/>
              <w:bottom w:val="nil"/>
              <w:right w:val="nil"/>
            </w:tcBorders>
            <w:shd w:val="clear" w:color="auto" w:fill="auto"/>
            <w:noWrap/>
            <w:vAlign w:val="bottom"/>
            <w:hideMark/>
          </w:tcPr>
          <w:p w14:paraId="1A9CE000"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4.2</w:t>
            </w:r>
          </w:p>
        </w:tc>
        <w:tc>
          <w:tcPr>
            <w:tcW w:w="1764" w:type="dxa"/>
            <w:tcBorders>
              <w:top w:val="nil"/>
              <w:left w:val="nil"/>
              <w:bottom w:val="nil"/>
              <w:right w:val="nil"/>
            </w:tcBorders>
            <w:shd w:val="clear" w:color="auto" w:fill="FFFFFF" w:themeFill="background1"/>
            <w:noWrap/>
            <w:vAlign w:val="bottom"/>
            <w:hideMark/>
          </w:tcPr>
          <w:p w14:paraId="0F4A2636" w14:textId="77777777" w:rsidR="004D18E0" w:rsidRPr="008D6A42" w:rsidRDefault="004D18E0" w:rsidP="0070368A">
            <w:pPr>
              <w:jc w:val="center"/>
              <w:rPr>
                <w:rFonts w:ascii="Arial" w:hAnsi="Arial"/>
                <w:b/>
                <w:bCs/>
                <w:color w:val="000000"/>
                <w:sz w:val="15"/>
                <w:szCs w:val="15"/>
              </w:rPr>
            </w:pPr>
            <w:r w:rsidRPr="0069160B">
              <w:rPr>
                <w:rFonts w:ascii="Arial" w:hAnsi="Arial"/>
                <w:b/>
                <w:bCs/>
                <w:color w:val="000000" w:themeColor="text1"/>
                <w:sz w:val="15"/>
                <w:szCs w:val="15"/>
              </w:rPr>
              <w:t>15.0%</w:t>
            </w:r>
          </w:p>
        </w:tc>
        <w:tc>
          <w:tcPr>
            <w:tcW w:w="2100" w:type="dxa"/>
            <w:tcBorders>
              <w:top w:val="nil"/>
              <w:left w:val="nil"/>
              <w:bottom w:val="nil"/>
              <w:right w:val="nil"/>
            </w:tcBorders>
            <w:shd w:val="clear" w:color="auto" w:fill="FFFFFF" w:themeFill="background1"/>
            <w:noWrap/>
            <w:vAlign w:val="bottom"/>
            <w:hideMark/>
          </w:tcPr>
          <w:p w14:paraId="2AA8A0AA" w14:textId="77777777" w:rsidR="004D18E0" w:rsidRPr="008D6A42" w:rsidRDefault="004D18E0" w:rsidP="0070368A">
            <w:pPr>
              <w:jc w:val="center"/>
              <w:rPr>
                <w:rFonts w:ascii="Arial" w:hAnsi="Arial"/>
                <w:b/>
                <w:bCs/>
                <w:color w:val="000000"/>
                <w:sz w:val="15"/>
                <w:szCs w:val="15"/>
              </w:rPr>
            </w:pPr>
            <w:r w:rsidRPr="0069160B">
              <w:rPr>
                <w:rFonts w:ascii="Arial" w:hAnsi="Arial"/>
                <w:b/>
                <w:bCs/>
                <w:color w:val="000000" w:themeColor="text1"/>
                <w:sz w:val="15"/>
                <w:szCs w:val="15"/>
              </w:rPr>
              <w:t>35.0%</w:t>
            </w:r>
          </w:p>
        </w:tc>
      </w:tr>
      <w:tr w:rsidR="004D18E0" w:rsidRPr="00BC0A19" w14:paraId="5020FB8E" w14:textId="77777777" w:rsidTr="00041EE1">
        <w:trPr>
          <w:trHeight w:val="60"/>
        </w:trPr>
        <w:tc>
          <w:tcPr>
            <w:tcW w:w="1045" w:type="dxa"/>
            <w:tcBorders>
              <w:top w:val="nil"/>
              <w:left w:val="nil"/>
              <w:bottom w:val="nil"/>
              <w:right w:val="nil"/>
            </w:tcBorders>
            <w:shd w:val="clear" w:color="auto" w:fill="auto"/>
            <w:noWrap/>
            <w:hideMark/>
          </w:tcPr>
          <w:p w14:paraId="7FEB3FAC"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Lead</w:t>
            </w:r>
          </w:p>
        </w:tc>
        <w:tc>
          <w:tcPr>
            <w:tcW w:w="1041" w:type="dxa"/>
            <w:tcBorders>
              <w:top w:val="nil"/>
              <w:left w:val="nil"/>
              <w:bottom w:val="nil"/>
              <w:right w:val="nil"/>
            </w:tcBorders>
            <w:shd w:val="clear" w:color="auto" w:fill="auto"/>
            <w:noWrap/>
            <w:vAlign w:val="bottom"/>
            <w:hideMark/>
          </w:tcPr>
          <w:p w14:paraId="7EF69D8B"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0.025</w:t>
            </w:r>
          </w:p>
        </w:tc>
        <w:tc>
          <w:tcPr>
            <w:tcW w:w="1442" w:type="dxa"/>
            <w:tcBorders>
              <w:top w:val="nil"/>
              <w:left w:val="nil"/>
              <w:bottom w:val="nil"/>
              <w:right w:val="nil"/>
            </w:tcBorders>
            <w:shd w:val="clear" w:color="auto" w:fill="auto"/>
            <w:noWrap/>
            <w:vAlign w:val="bottom"/>
            <w:hideMark/>
          </w:tcPr>
          <w:p w14:paraId="5606EBA2"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1.75</w:t>
            </w:r>
          </w:p>
        </w:tc>
        <w:tc>
          <w:tcPr>
            <w:tcW w:w="1416" w:type="dxa"/>
            <w:tcBorders>
              <w:top w:val="nil"/>
              <w:left w:val="nil"/>
              <w:bottom w:val="nil"/>
              <w:right w:val="nil"/>
            </w:tcBorders>
            <w:shd w:val="clear" w:color="auto" w:fill="auto"/>
            <w:noWrap/>
            <w:vAlign w:val="bottom"/>
            <w:hideMark/>
          </w:tcPr>
          <w:p w14:paraId="628A95B8"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0.375</w:t>
            </w:r>
          </w:p>
        </w:tc>
        <w:tc>
          <w:tcPr>
            <w:tcW w:w="1398" w:type="dxa"/>
            <w:tcBorders>
              <w:top w:val="nil"/>
              <w:left w:val="nil"/>
              <w:bottom w:val="nil"/>
              <w:right w:val="nil"/>
            </w:tcBorders>
            <w:shd w:val="clear" w:color="auto" w:fill="auto"/>
            <w:noWrap/>
            <w:vAlign w:val="bottom"/>
            <w:hideMark/>
          </w:tcPr>
          <w:p w14:paraId="799E94F3"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0.018</w:t>
            </w:r>
          </w:p>
        </w:tc>
        <w:tc>
          <w:tcPr>
            <w:tcW w:w="1764" w:type="dxa"/>
            <w:tcBorders>
              <w:top w:val="nil"/>
              <w:left w:val="nil"/>
              <w:bottom w:val="nil"/>
              <w:right w:val="nil"/>
            </w:tcBorders>
            <w:shd w:val="clear" w:color="auto" w:fill="FFFFFF" w:themeFill="background1"/>
            <w:noWrap/>
            <w:vAlign w:val="bottom"/>
            <w:hideMark/>
          </w:tcPr>
          <w:p w14:paraId="53C517B3" w14:textId="77777777" w:rsidR="004D18E0" w:rsidRPr="008D6A42" w:rsidRDefault="004D18E0" w:rsidP="0070368A">
            <w:pPr>
              <w:jc w:val="center"/>
              <w:rPr>
                <w:rFonts w:ascii="Arial" w:hAnsi="Arial"/>
                <w:color w:val="000000"/>
                <w:sz w:val="15"/>
                <w:szCs w:val="15"/>
              </w:rPr>
            </w:pPr>
            <w:r w:rsidRPr="008D6A42">
              <w:rPr>
                <w:rFonts w:ascii="Arial" w:hAnsi="Arial"/>
                <w:color w:val="000000"/>
                <w:sz w:val="15"/>
                <w:szCs w:val="15"/>
              </w:rPr>
              <w:t>0.5%</w:t>
            </w:r>
          </w:p>
        </w:tc>
        <w:tc>
          <w:tcPr>
            <w:tcW w:w="2100" w:type="dxa"/>
            <w:tcBorders>
              <w:top w:val="nil"/>
              <w:left w:val="nil"/>
              <w:bottom w:val="nil"/>
              <w:right w:val="nil"/>
            </w:tcBorders>
            <w:shd w:val="clear" w:color="auto" w:fill="FFFFFF" w:themeFill="background1"/>
            <w:noWrap/>
            <w:vAlign w:val="bottom"/>
            <w:hideMark/>
          </w:tcPr>
          <w:p w14:paraId="4B2B1DBF" w14:textId="77777777" w:rsidR="004D18E0" w:rsidRPr="008D6A42" w:rsidRDefault="004D18E0" w:rsidP="0070368A">
            <w:pPr>
              <w:jc w:val="center"/>
              <w:rPr>
                <w:rFonts w:ascii="Arial" w:hAnsi="Arial"/>
                <w:color w:val="000000"/>
                <w:sz w:val="15"/>
                <w:szCs w:val="15"/>
              </w:rPr>
            </w:pPr>
            <w:r w:rsidRPr="008D6A42">
              <w:rPr>
                <w:rFonts w:ascii="Arial" w:hAnsi="Arial"/>
                <w:color w:val="000000"/>
                <w:sz w:val="15"/>
                <w:szCs w:val="15"/>
              </w:rPr>
              <w:t>1.2%</w:t>
            </w:r>
          </w:p>
        </w:tc>
      </w:tr>
      <w:tr w:rsidR="004D18E0" w:rsidRPr="00BC0A19" w14:paraId="008C36E6" w14:textId="77777777" w:rsidTr="00041EE1">
        <w:trPr>
          <w:trHeight w:val="126"/>
        </w:trPr>
        <w:tc>
          <w:tcPr>
            <w:tcW w:w="1045" w:type="dxa"/>
            <w:tcBorders>
              <w:top w:val="nil"/>
              <w:left w:val="nil"/>
              <w:bottom w:val="nil"/>
              <w:right w:val="nil"/>
            </w:tcBorders>
            <w:shd w:val="clear" w:color="auto" w:fill="auto"/>
            <w:noWrap/>
            <w:hideMark/>
          </w:tcPr>
          <w:p w14:paraId="1C5F6841"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lastRenderedPageBreak/>
              <w:t>Mercury</w:t>
            </w:r>
          </w:p>
        </w:tc>
        <w:tc>
          <w:tcPr>
            <w:tcW w:w="1041" w:type="dxa"/>
            <w:tcBorders>
              <w:top w:val="nil"/>
              <w:left w:val="nil"/>
              <w:bottom w:val="nil"/>
              <w:right w:val="nil"/>
            </w:tcBorders>
            <w:shd w:val="clear" w:color="auto" w:fill="auto"/>
            <w:noWrap/>
            <w:vAlign w:val="bottom"/>
            <w:hideMark/>
          </w:tcPr>
          <w:p w14:paraId="132F4E26"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0.007</w:t>
            </w:r>
          </w:p>
        </w:tc>
        <w:tc>
          <w:tcPr>
            <w:tcW w:w="1442" w:type="dxa"/>
            <w:tcBorders>
              <w:top w:val="nil"/>
              <w:left w:val="nil"/>
              <w:bottom w:val="nil"/>
              <w:right w:val="nil"/>
            </w:tcBorders>
            <w:shd w:val="clear" w:color="auto" w:fill="auto"/>
            <w:noWrap/>
            <w:vAlign w:val="bottom"/>
            <w:hideMark/>
          </w:tcPr>
          <w:p w14:paraId="18D5B4B1"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0.49</w:t>
            </w:r>
          </w:p>
        </w:tc>
        <w:tc>
          <w:tcPr>
            <w:tcW w:w="1416" w:type="dxa"/>
            <w:tcBorders>
              <w:top w:val="nil"/>
              <w:left w:val="nil"/>
              <w:bottom w:val="nil"/>
              <w:right w:val="nil"/>
            </w:tcBorders>
            <w:shd w:val="clear" w:color="auto" w:fill="auto"/>
            <w:noWrap/>
            <w:vAlign w:val="bottom"/>
            <w:hideMark/>
          </w:tcPr>
          <w:p w14:paraId="59819635"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0.105</w:t>
            </w:r>
          </w:p>
        </w:tc>
        <w:tc>
          <w:tcPr>
            <w:tcW w:w="1398" w:type="dxa"/>
            <w:tcBorders>
              <w:top w:val="nil"/>
              <w:left w:val="nil"/>
              <w:bottom w:val="nil"/>
              <w:right w:val="nil"/>
            </w:tcBorders>
            <w:shd w:val="clear" w:color="auto" w:fill="auto"/>
            <w:noWrap/>
            <w:vAlign w:val="bottom"/>
            <w:hideMark/>
          </w:tcPr>
          <w:p w14:paraId="5B6C5A06"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0.021</w:t>
            </w:r>
          </w:p>
        </w:tc>
        <w:tc>
          <w:tcPr>
            <w:tcW w:w="1764" w:type="dxa"/>
            <w:tcBorders>
              <w:top w:val="nil"/>
              <w:left w:val="nil"/>
              <w:bottom w:val="nil"/>
              <w:right w:val="nil"/>
            </w:tcBorders>
            <w:shd w:val="clear" w:color="auto" w:fill="FFFFFF" w:themeFill="background1"/>
            <w:noWrap/>
            <w:vAlign w:val="bottom"/>
            <w:hideMark/>
          </w:tcPr>
          <w:p w14:paraId="66C69229" w14:textId="77777777" w:rsidR="004D18E0" w:rsidRPr="008D6A42" w:rsidRDefault="004D18E0" w:rsidP="0070368A">
            <w:pPr>
              <w:jc w:val="center"/>
              <w:rPr>
                <w:rFonts w:ascii="Arial" w:hAnsi="Arial"/>
                <w:color w:val="000000"/>
                <w:sz w:val="15"/>
                <w:szCs w:val="15"/>
              </w:rPr>
            </w:pPr>
            <w:r w:rsidRPr="008D6A42">
              <w:rPr>
                <w:rFonts w:ascii="Arial" w:hAnsi="Arial"/>
                <w:color w:val="000000"/>
                <w:sz w:val="15"/>
                <w:szCs w:val="15"/>
              </w:rPr>
              <w:t>2.1%</w:t>
            </w:r>
          </w:p>
        </w:tc>
        <w:tc>
          <w:tcPr>
            <w:tcW w:w="2100" w:type="dxa"/>
            <w:tcBorders>
              <w:top w:val="nil"/>
              <w:left w:val="nil"/>
              <w:bottom w:val="nil"/>
              <w:right w:val="nil"/>
            </w:tcBorders>
            <w:shd w:val="clear" w:color="auto" w:fill="FFFFFF" w:themeFill="background1"/>
            <w:noWrap/>
            <w:vAlign w:val="bottom"/>
            <w:hideMark/>
          </w:tcPr>
          <w:p w14:paraId="6AE22401" w14:textId="77777777" w:rsidR="004D18E0" w:rsidRPr="0069160B" w:rsidRDefault="004D18E0" w:rsidP="0070368A">
            <w:pPr>
              <w:jc w:val="center"/>
              <w:rPr>
                <w:rFonts w:ascii="Arial" w:hAnsi="Arial"/>
                <w:b/>
                <w:bCs/>
                <w:color w:val="000000" w:themeColor="text1"/>
                <w:sz w:val="15"/>
                <w:szCs w:val="15"/>
              </w:rPr>
            </w:pPr>
            <w:r w:rsidRPr="0069160B">
              <w:rPr>
                <w:rFonts w:ascii="Arial" w:hAnsi="Arial"/>
                <w:b/>
                <w:bCs/>
                <w:color w:val="000000" w:themeColor="text1"/>
                <w:sz w:val="15"/>
                <w:szCs w:val="15"/>
              </w:rPr>
              <w:t>5.00%</w:t>
            </w:r>
          </w:p>
        </w:tc>
      </w:tr>
      <w:tr w:rsidR="004D18E0" w:rsidRPr="00BC0A19" w14:paraId="4A4E4315" w14:textId="77777777" w:rsidTr="00041EE1">
        <w:trPr>
          <w:trHeight w:val="60"/>
        </w:trPr>
        <w:tc>
          <w:tcPr>
            <w:tcW w:w="1045" w:type="dxa"/>
            <w:tcBorders>
              <w:top w:val="nil"/>
              <w:left w:val="nil"/>
              <w:bottom w:val="nil"/>
              <w:right w:val="nil"/>
            </w:tcBorders>
            <w:shd w:val="clear" w:color="auto" w:fill="auto"/>
            <w:noWrap/>
            <w:hideMark/>
          </w:tcPr>
          <w:p w14:paraId="1E22C4D6"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Selenium</w:t>
            </w:r>
          </w:p>
        </w:tc>
        <w:tc>
          <w:tcPr>
            <w:tcW w:w="1041" w:type="dxa"/>
            <w:tcBorders>
              <w:top w:val="nil"/>
              <w:left w:val="nil"/>
              <w:bottom w:val="nil"/>
              <w:right w:val="nil"/>
            </w:tcBorders>
            <w:shd w:val="clear" w:color="auto" w:fill="auto"/>
            <w:noWrap/>
            <w:vAlign w:val="bottom"/>
            <w:hideMark/>
          </w:tcPr>
          <w:p w14:paraId="36E610D3"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0.0125</w:t>
            </w:r>
          </w:p>
        </w:tc>
        <w:tc>
          <w:tcPr>
            <w:tcW w:w="1442" w:type="dxa"/>
            <w:tcBorders>
              <w:top w:val="nil"/>
              <w:left w:val="nil"/>
              <w:bottom w:val="nil"/>
              <w:right w:val="nil"/>
            </w:tcBorders>
            <w:shd w:val="clear" w:color="auto" w:fill="auto"/>
            <w:noWrap/>
            <w:vAlign w:val="bottom"/>
            <w:hideMark/>
          </w:tcPr>
          <w:p w14:paraId="33202DC8"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0.875</w:t>
            </w:r>
          </w:p>
        </w:tc>
        <w:tc>
          <w:tcPr>
            <w:tcW w:w="1416" w:type="dxa"/>
            <w:tcBorders>
              <w:top w:val="nil"/>
              <w:left w:val="nil"/>
              <w:bottom w:val="nil"/>
              <w:right w:val="nil"/>
            </w:tcBorders>
            <w:shd w:val="clear" w:color="auto" w:fill="auto"/>
            <w:noWrap/>
            <w:vAlign w:val="bottom"/>
            <w:hideMark/>
          </w:tcPr>
          <w:p w14:paraId="74891996"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0.188</w:t>
            </w:r>
          </w:p>
        </w:tc>
        <w:tc>
          <w:tcPr>
            <w:tcW w:w="1398" w:type="dxa"/>
            <w:tcBorders>
              <w:top w:val="nil"/>
              <w:left w:val="nil"/>
              <w:bottom w:val="nil"/>
              <w:right w:val="nil"/>
            </w:tcBorders>
            <w:shd w:val="clear" w:color="auto" w:fill="auto"/>
            <w:noWrap/>
            <w:vAlign w:val="bottom"/>
            <w:hideMark/>
          </w:tcPr>
          <w:p w14:paraId="4AA777B8"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0.265</w:t>
            </w:r>
          </w:p>
        </w:tc>
        <w:tc>
          <w:tcPr>
            <w:tcW w:w="1764" w:type="dxa"/>
            <w:tcBorders>
              <w:top w:val="nil"/>
              <w:left w:val="nil"/>
              <w:bottom w:val="nil"/>
              <w:right w:val="nil"/>
            </w:tcBorders>
            <w:shd w:val="clear" w:color="auto" w:fill="FFFFFF" w:themeFill="background1"/>
            <w:noWrap/>
            <w:vAlign w:val="bottom"/>
            <w:hideMark/>
          </w:tcPr>
          <w:p w14:paraId="15A89ACC" w14:textId="77777777" w:rsidR="004D18E0" w:rsidRPr="008D6A42" w:rsidRDefault="004D18E0" w:rsidP="0070368A">
            <w:pPr>
              <w:jc w:val="center"/>
              <w:rPr>
                <w:rFonts w:ascii="Arial" w:hAnsi="Arial"/>
                <w:b/>
                <w:bCs/>
                <w:color w:val="000000"/>
                <w:sz w:val="15"/>
                <w:szCs w:val="15"/>
              </w:rPr>
            </w:pPr>
            <w:r w:rsidRPr="0069160B">
              <w:rPr>
                <w:rFonts w:ascii="Arial" w:hAnsi="Arial"/>
                <w:b/>
                <w:bCs/>
                <w:color w:val="000000" w:themeColor="text1"/>
                <w:sz w:val="15"/>
                <w:szCs w:val="15"/>
              </w:rPr>
              <w:t>15.1%</w:t>
            </w:r>
          </w:p>
        </w:tc>
        <w:tc>
          <w:tcPr>
            <w:tcW w:w="2100" w:type="dxa"/>
            <w:tcBorders>
              <w:top w:val="nil"/>
              <w:left w:val="nil"/>
              <w:bottom w:val="nil"/>
              <w:right w:val="nil"/>
            </w:tcBorders>
            <w:shd w:val="clear" w:color="auto" w:fill="FFFFFF" w:themeFill="background1"/>
            <w:noWrap/>
            <w:vAlign w:val="bottom"/>
            <w:hideMark/>
          </w:tcPr>
          <w:p w14:paraId="00474C7F" w14:textId="77777777" w:rsidR="004D18E0" w:rsidRPr="0069160B" w:rsidRDefault="004D18E0" w:rsidP="0070368A">
            <w:pPr>
              <w:jc w:val="center"/>
              <w:rPr>
                <w:rFonts w:ascii="Arial" w:hAnsi="Arial"/>
                <w:b/>
                <w:bCs/>
                <w:color w:val="000000" w:themeColor="text1"/>
                <w:sz w:val="15"/>
                <w:szCs w:val="15"/>
              </w:rPr>
            </w:pPr>
            <w:r w:rsidRPr="0069160B">
              <w:rPr>
                <w:rFonts w:ascii="Arial" w:hAnsi="Arial"/>
                <w:b/>
                <w:bCs/>
                <w:color w:val="000000" w:themeColor="text1"/>
                <w:sz w:val="15"/>
                <w:szCs w:val="15"/>
              </w:rPr>
              <w:t>35.3%</w:t>
            </w:r>
          </w:p>
        </w:tc>
      </w:tr>
      <w:tr w:rsidR="004D18E0" w:rsidRPr="00BC0A19" w14:paraId="05352DF5" w14:textId="77777777" w:rsidTr="00041EE1">
        <w:trPr>
          <w:trHeight w:val="60"/>
        </w:trPr>
        <w:tc>
          <w:tcPr>
            <w:tcW w:w="1045" w:type="dxa"/>
            <w:tcBorders>
              <w:top w:val="nil"/>
              <w:left w:val="nil"/>
              <w:bottom w:val="single" w:sz="4" w:space="0" w:color="auto"/>
              <w:right w:val="nil"/>
            </w:tcBorders>
            <w:shd w:val="clear" w:color="auto" w:fill="auto"/>
            <w:noWrap/>
            <w:hideMark/>
          </w:tcPr>
          <w:p w14:paraId="37705725" w14:textId="77777777" w:rsidR="004D18E0" w:rsidRPr="00BC0A19" w:rsidRDefault="004D18E0" w:rsidP="0070368A">
            <w:pPr>
              <w:rPr>
                <w:rFonts w:ascii="Arial" w:hAnsi="Arial"/>
                <w:color w:val="000000"/>
                <w:sz w:val="15"/>
                <w:szCs w:val="15"/>
              </w:rPr>
            </w:pPr>
            <w:r w:rsidRPr="00BC0A19">
              <w:rPr>
                <w:rFonts w:ascii="Arial" w:hAnsi="Arial"/>
                <w:color w:val="000000"/>
                <w:sz w:val="15"/>
                <w:szCs w:val="15"/>
              </w:rPr>
              <w:t>Zinc</w:t>
            </w:r>
          </w:p>
        </w:tc>
        <w:tc>
          <w:tcPr>
            <w:tcW w:w="1041" w:type="dxa"/>
            <w:tcBorders>
              <w:top w:val="nil"/>
              <w:left w:val="nil"/>
              <w:bottom w:val="single" w:sz="4" w:space="0" w:color="auto"/>
              <w:right w:val="nil"/>
            </w:tcBorders>
            <w:shd w:val="clear" w:color="auto" w:fill="auto"/>
            <w:noWrap/>
            <w:vAlign w:val="bottom"/>
            <w:hideMark/>
          </w:tcPr>
          <w:p w14:paraId="6BCBF87C"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na</w:t>
            </w:r>
            <w:proofErr w:type="spellEnd"/>
          </w:p>
        </w:tc>
        <w:tc>
          <w:tcPr>
            <w:tcW w:w="1442" w:type="dxa"/>
            <w:tcBorders>
              <w:top w:val="nil"/>
              <w:left w:val="nil"/>
              <w:bottom w:val="single" w:sz="4" w:space="0" w:color="auto"/>
              <w:right w:val="nil"/>
            </w:tcBorders>
            <w:shd w:val="clear" w:color="auto" w:fill="auto"/>
            <w:noWrap/>
            <w:vAlign w:val="bottom"/>
            <w:hideMark/>
          </w:tcPr>
          <w:p w14:paraId="0B08A948"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na</w:t>
            </w:r>
            <w:proofErr w:type="spellEnd"/>
          </w:p>
        </w:tc>
        <w:tc>
          <w:tcPr>
            <w:tcW w:w="1416" w:type="dxa"/>
            <w:tcBorders>
              <w:top w:val="nil"/>
              <w:left w:val="nil"/>
              <w:bottom w:val="single" w:sz="4" w:space="0" w:color="auto"/>
              <w:right w:val="nil"/>
            </w:tcBorders>
            <w:shd w:val="clear" w:color="auto" w:fill="auto"/>
            <w:noWrap/>
            <w:vAlign w:val="bottom"/>
            <w:hideMark/>
          </w:tcPr>
          <w:p w14:paraId="6652E8ED" w14:textId="77777777" w:rsidR="004D18E0" w:rsidRPr="00BC0A19" w:rsidRDefault="004D18E0" w:rsidP="0070368A">
            <w:pPr>
              <w:jc w:val="center"/>
              <w:rPr>
                <w:rFonts w:ascii="Arial" w:hAnsi="Arial"/>
                <w:color w:val="000000"/>
                <w:sz w:val="15"/>
                <w:szCs w:val="15"/>
              </w:rPr>
            </w:pPr>
            <w:proofErr w:type="spellStart"/>
            <w:r w:rsidRPr="00BC0A19">
              <w:rPr>
                <w:rFonts w:ascii="Arial" w:hAnsi="Arial"/>
                <w:color w:val="000000"/>
                <w:sz w:val="15"/>
                <w:szCs w:val="15"/>
              </w:rPr>
              <w:t>na</w:t>
            </w:r>
            <w:proofErr w:type="spellEnd"/>
          </w:p>
        </w:tc>
        <w:tc>
          <w:tcPr>
            <w:tcW w:w="1398" w:type="dxa"/>
            <w:tcBorders>
              <w:top w:val="nil"/>
              <w:left w:val="nil"/>
              <w:bottom w:val="single" w:sz="4" w:space="0" w:color="auto"/>
              <w:right w:val="nil"/>
            </w:tcBorders>
            <w:shd w:val="clear" w:color="auto" w:fill="auto"/>
            <w:noWrap/>
            <w:vAlign w:val="bottom"/>
            <w:hideMark/>
          </w:tcPr>
          <w:p w14:paraId="15BEA7AA" w14:textId="77777777" w:rsidR="004D18E0" w:rsidRPr="00BC0A19" w:rsidRDefault="004D18E0" w:rsidP="0070368A">
            <w:pPr>
              <w:jc w:val="center"/>
              <w:rPr>
                <w:rFonts w:ascii="Arial" w:hAnsi="Arial"/>
                <w:color w:val="000000"/>
                <w:sz w:val="15"/>
                <w:szCs w:val="15"/>
              </w:rPr>
            </w:pPr>
            <w:r w:rsidRPr="00BC0A19">
              <w:rPr>
                <w:rFonts w:ascii="Arial" w:hAnsi="Arial"/>
                <w:color w:val="000000"/>
                <w:sz w:val="15"/>
                <w:szCs w:val="15"/>
              </w:rPr>
              <w:t>10</w:t>
            </w:r>
          </w:p>
        </w:tc>
        <w:tc>
          <w:tcPr>
            <w:tcW w:w="1764" w:type="dxa"/>
            <w:tcBorders>
              <w:top w:val="nil"/>
              <w:left w:val="nil"/>
              <w:bottom w:val="single" w:sz="4" w:space="0" w:color="auto"/>
              <w:right w:val="nil"/>
            </w:tcBorders>
            <w:shd w:val="clear" w:color="auto" w:fill="FFFFFF" w:themeFill="background1"/>
            <w:noWrap/>
            <w:vAlign w:val="bottom"/>
            <w:hideMark/>
          </w:tcPr>
          <w:p w14:paraId="4E32D6E2" w14:textId="77777777" w:rsidR="004D18E0" w:rsidRPr="008D6A42" w:rsidRDefault="004D18E0" w:rsidP="0070368A">
            <w:pPr>
              <w:jc w:val="center"/>
              <w:rPr>
                <w:rFonts w:ascii="Arial" w:hAnsi="Arial"/>
                <w:color w:val="000000"/>
                <w:sz w:val="15"/>
                <w:szCs w:val="15"/>
              </w:rPr>
            </w:pPr>
            <w:proofErr w:type="spellStart"/>
            <w:r w:rsidRPr="008D6A42">
              <w:rPr>
                <w:rFonts w:ascii="Arial" w:hAnsi="Arial"/>
                <w:color w:val="000000"/>
                <w:sz w:val="15"/>
                <w:szCs w:val="15"/>
              </w:rPr>
              <w:t>na</w:t>
            </w:r>
            <w:proofErr w:type="spellEnd"/>
          </w:p>
        </w:tc>
        <w:tc>
          <w:tcPr>
            <w:tcW w:w="2100" w:type="dxa"/>
            <w:tcBorders>
              <w:top w:val="nil"/>
              <w:left w:val="nil"/>
              <w:bottom w:val="single" w:sz="4" w:space="0" w:color="auto"/>
              <w:right w:val="nil"/>
            </w:tcBorders>
            <w:shd w:val="clear" w:color="auto" w:fill="FFFFFF" w:themeFill="background1"/>
            <w:noWrap/>
            <w:vAlign w:val="bottom"/>
            <w:hideMark/>
          </w:tcPr>
          <w:p w14:paraId="0F6A89CD" w14:textId="77777777" w:rsidR="004D18E0" w:rsidRPr="008D6A42" w:rsidRDefault="004D18E0" w:rsidP="0070368A">
            <w:pPr>
              <w:jc w:val="center"/>
              <w:rPr>
                <w:rFonts w:ascii="Arial" w:hAnsi="Arial"/>
                <w:color w:val="000000"/>
                <w:sz w:val="15"/>
                <w:szCs w:val="15"/>
              </w:rPr>
            </w:pPr>
            <w:proofErr w:type="spellStart"/>
            <w:r w:rsidRPr="008D6A42">
              <w:rPr>
                <w:rFonts w:ascii="Arial" w:hAnsi="Arial"/>
                <w:color w:val="000000"/>
                <w:sz w:val="15"/>
                <w:szCs w:val="15"/>
              </w:rPr>
              <w:t>na</w:t>
            </w:r>
            <w:proofErr w:type="spellEnd"/>
          </w:p>
        </w:tc>
      </w:tr>
    </w:tbl>
    <w:p w14:paraId="0C830DDB" w14:textId="77777777" w:rsidR="004D18E0" w:rsidRPr="004D18E0" w:rsidRDefault="004D18E0" w:rsidP="004D18E0">
      <w:pPr>
        <w:pStyle w:val="BodyText"/>
        <w:rPr>
          <w:b/>
          <w:bCs/>
          <w:sz w:val="24"/>
          <w:szCs w:val="26"/>
        </w:rPr>
      </w:pPr>
    </w:p>
    <w:p w14:paraId="05FF771A" w14:textId="18A8BDD8" w:rsidR="004D18E0" w:rsidRDefault="004D18E0" w:rsidP="004D18E0">
      <w:pPr>
        <w:pStyle w:val="Heading1"/>
      </w:pPr>
      <w:bookmarkStart w:id="46" w:name="_Toc133420167"/>
      <w:bookmarkStart w:id="47" w:name="_Toc133420458"/>
      <w:bookmarkStart w:id="48" w:name="_Toc133420545"/>
      <w:r>
        <w:t>Advice to public based on EPA’s study</w:t>
      </w:r>
      <w:bookmarkEnd w:id="46"/>
      <w:bookmarkEnd w:id="47"/>
      <w:bookmarkEnd w:id="48"/>
    </w:p>
    <w:p w14:paraId="26441A44" w14:textId="0980CE64" w:rsidR="000B09F3" w:rsidRDefault="00002E15" w:rsidP="00002E15">
      <w:pPr>
        <w:pStyle w:val="Heading2"/>
      </w:pPr>
      <w:bookmarkStart w:id="49" w:name="_Toc133420168"/>
      <w:bookmarkStart w:id="50" w:name="_Toc133420459"/>
      <w:bookmarkStart w:id="51" w:name="_Toc133420546"/>
      <w:r>
        <w:t>1.11. Advice regarding consumption of wild duck meat and livers</w:t>
      </w:r>
      <w:bookmarkEnd w:id="49"/>
      <w:bookmarkEnd w:id="50"/>
      <w:bookmarkEnd w:id="51"/>
    </w:p>
    <w:p w14:paraId="2D7A7A0B" w14:textId="33DDDBCA" w:rsidR="00002E15" w:rsidRPr="00002E15" w:rsidRDefault="00002E15" w:rsidP="00002E15">
      <w:pPr>
        <w:pStyle w:val="Heading3"/>
      </w:pPr>
      <w:bookmarkStart w:id="52" w:name="_Toc133420169"/>
      <w:bookmarkStart w:id="53" w:name="_Toc133420460"/>
      <w:bookmarkStart w:id="54" w:name="_Toc133420547"/>
      <w:r>
        <w:t>1.11.1 Copper and Selenium in breast meat</w:t>
      </w:r>
      <w:bookmarkEnd w:id="52"/>
      <w:bookmarkEnd w:id="53"/>
      <w:bookmarkEnd w:id="54"/>
    </w:p>
    <w:p w14:paraId="59503E58" w14:textId="77C77111" w:rsidR="004D18E0" w:rsidRDefault="004D18E0" w:rsidP="00AC32CD">
      <w:pPr>
        <w:pStyle w:val="BodyText"/>
        <w:jc w:val="both"/>
        <w:rPr>
          <w:sz w:val="24"/>
          <w:szCs w:val="26"/>
          <w:lang w:val="en-AU"/>
        </w:rPr>
      </w:pPr>
      <w:r w:rsidRPr="004D18E0">
        <w:rPr>
          <w:sz w:val="24"/>
          <w:szCs w:val="26"/>
          <w:lang w:val="en-AU"/>
        </w:rPr>
        <w:t>EPA Victoria’s advice is that the data indicates that duck breast meat is unlikely to pose a risk to most healthy adults when eaten in standard portion sizes. However, any person who is already exposed to copper or selenium (such as from a workplace) may wish to take this into account when deciding on portion sizes and frequency for eating duck meat.</w:t>
      </w:r>
    </w:p>
    <w:p w14:paraId="3BBC7B92" w14:textId="3755EBEB" w:rsidR="000B09F3" w:rsidRDefault="000B09F3" w:rsidP="00AC32CD">
      <w:pPr>
        <w:pStyle w:val="BodyText"/>
        <w:jc w:val="both"/>
        <w:rPr>
          <w:sz w:val="24"/>
          <w:szCs w:val="26"/>
          <w:lang w:val="en-AU"/>
        </w:rPr>
      </w:pPr>
    </w:p>
    <w:p w14:paraId="76486006" w14:textId="58E462E9" w:rsidR="00002E15" w:rsidRDefault="00002E15" w:rsidP="00002E15">
      <w:pPr>
        <w:pStyle w:val="Heading3"/>
      </w:pPr>
      <w:bookmarkStart w:id="55" w:name="_Toc133420170"/>
      <w:bookmarkStart w:id="56" w:name="_Toc133420461"/>
      <w:bookmarkStart w:id="57" w:name="_Toc133420548"/>
      <w:r>
        <w:t>1.11.2 Mercury in breast meat</w:t>
      </w:r>
      <w:bookmarkEnd w:id="55"/>
      <w:bookmarkEnd w:id="56"/>
      <w:bookmarkEnd w:id="57"/>
    </w:p>
    <w:p w14:paraId="70CF0918" w14:textId="01F6E54D" w:rsidR="004D18E0" w:rsidRDefault="004D18E0" w:rsidP="00AC32CD">
      <w:pPr>
        <w:pStyle w:val="BodyText"/>
        <w:jc w:val="both"/>
        <w:rPr>
          <w:sz w:val="24"/>
          <w:szCs w:val="26"/>
          <w:lang w:val="en-AU"/>
        </w:rPr>
      </w:pPr>
      <w:r w:rsidRPr="004D18E0">
        <w:rPr>
          <w:sz w:val="24"/>
          <w:szCs w:val="26"/>
          <w:lang w:val="en-AU"/>
        </w:rPr>
        <w:t>For persons in a category where the standard advice is to limit mercury exposure (</w:t>
      </w:r>
      <w:proofErr w:type="gramStart"/>
      <w:r w:rsidRPr="004D18E0">
        <w:rPr>
          <w:sz w:val="24"/>
          <w:szCs w:val="26"/>
          <w:lang w:val="en-AU"/>
        </w:rPr>
        <w:t>e.g.</w:t>
      </w:r>
      <w:proofErr w:type="gramEnd"/>
      <w:r w:rsidRPr="004D18E0">
        <w:rPr>
          <w:sz w:val="24"/>
          <w:szCs w:val="26"/>
          <w:lang w:val="en-AU"/>
        </w:rPr>
        <w:t xml:space="preserve"> young children and pregnant women), it would be prudent to limit consumption of wild duck meat, in particular Pink-eared Ducks. </w:t>
      </w:r>
    </w:p>
    <w:p w14:paraId="0C364083" w14:textId="5B037E4B" w:rsidR="000B09F3" w:rsidRDefault="000B09F3" w:rsidP="004D18E0">
      <w:pPr>
        <w:pStyle w:val="BodyText"/>
        <w:rPr>
          <w:sz w:val="24"/>
          <w:szCs w:val="26"/>
          <w:lang w:val="en-AU"/>
        </w:rPr>
      </w:pPr>
    </w:p>
    <w:p w14:paraId="3010F507" w14:textId="385ADACA" w:rsidR="00002E15" w:rsidRDefault="00002E15" w:rsidP="00002E15">
      <w:pPr>
        <w:pStyle w:val="Heading3"/>
      </w:pPr>
      <w:bookmarkStart w:id="58" w:name="_Toc133420171"/>
      <w:bookmarkStart w:id="59" w:name="_Toc133420462"/>
      <w:bookmarkStart w:id="60" w:name="_Toc133420549"/>
      <w:r>
        <w:t>1.11.3 Lead in breast meat</w:t>
      </w:r>
      <w:bookmarkEnd w:id="58"/>
      <w:bookmarkEnd w:id="59"/>
      <w:bookmarkEnd w:id="60"/>
    </w:p>
    <w:p w14:paraId="519CC4BF" w14:textId="2720622B" w:rsidR="004D18E0" w:rsidRDefault="004D18E0" w:rsidP="0062553E">
      <w:pPr>
        <w:pStyle w:val="BodyText"/>
        <w:jc w:val="both"/>
        <w:rPr>
          <w:sz w:val="24"/>
          <w:szCs w:val="26"/>
          <w:lang w:val="en-AU"/>
        </w:rPr>
      </w:pPr>
      <w:r w:rsidRPr="004D18E0">
        <w:rPr>
          <w:sz w:val="24"/>
          <w:szCs w:val="26"/>
          <w:lang w:val="en-AU"/>
        </w:rPr>
        <w:t xml:space="preserve">Although lead exposure remains </w:t>
      </w:r>
      <w:proofErr w:type="spellStart"/>
      <w:proofErr w:type="gramStart"/>
      <w:r w:rsidRPr="004D18E0">
        <w:rPr>
          <w:sz w:val="24"/>
          <w:szCs w:val="26"/>
          <w:lang w:val="en-AU"/>
        </w:rPr>
        <w:t>a</w:t>
      </w:r>
      <w:proofErr w:type="spellEnd"/>
      <w:proofErr w:type="gramEnd"/>
      <w:r w:rsidRPr="004D18E0">
        <w:rPr>
          <w:sz w:val="24"/>
          <w:szCs w:val="26"/>
          <w:lang w:val="en-AU"/>
        </w:rPr>
        <w:t xml:space="preserve"> ongoing public concern, lead in wild duck meat was not at a level that presents a clear risk to adults or children, given the current FSANZ guidelines. Nonetheless, lead is present in the ambient environment from a variety of sources even at low concentrations (</w:t>
      </w:r>
      <w:proofErr w:type="gramStart"/>
      <w:r w:rsidRPr="004D18E0">
        <w:rPr>
          <w:sz w:val="24"/>
          <w:szCs w:val="26"/>
          <w:lang w:val="en-AU"/>
        </w:rPr>
        <w:t>e.g.</w:t>
      </w:r>
      <w:proofErr w:type="gramEnd"/>
      <w:r w:rsidRPr="004D18E0">
        <w:rPr>
          <w:sz w:val="24"/>
          <w:szCs w:val="26"/>
          <w:lang w:val="en-AU"/>
        </w:rPr>
        <w:t xml:space="preserve"> dust, soil, water) and the WHO currently advises that no amount of dietary lead can be considered health protective, and especially for children under six years of age. Consequently, some caution around portion sizes and/or frequency of eating wild duck meat is a reasonable consideration. </w:t>
      </w:r>
    </w:p>
    <w:p w14:paraId="2062D846" w14:textId="77777777" w:rsidR="0062553E" w:rsidRPr="004D18E0" w:rsidRDefault="0062553E" w:rsidP="0062553E">
      <w:pPr>
        <w:pStyle w:val="BodyText"/>
        <w:jc w:val="both"/>
        <w:rPr>
          <w:sz w:val="24"/>
          <w:szCs w:val="26"/>
          <w:lang w:val="en-AU"/>
        </w:rPr>
      </w:pPr>
    </w:p>
    <w:p w14:paraId="0634A3F0" w14:textId="481987C3" w:rsidR="004D18E0" w:rsidRDefault="004D18E0" w:rsidP="0062553E">
      <w:pPr>
        <w:pStyle w:val="BodyText"/>
        <w:jc w:val="both"/>
        <w:rPr>
          <w:sz w:val="24"/>
          <w:szCs w:val="26"/>
          <w:lang w:val="en-AU"/>
        </w:rPr>
      </w:pPr>
      <w:r w:rsidRPr="004D18E0">
        <w:rPr>
          <w:sz w:val="24"/>
          <w:szCs w:val="26"/>
          <w:lang w:val="en-AU"/>
        </w:rPr>
        <w:t>An important outcome of the data analysis is that measured lead levels in wildfowl were low overall, corresponding with other recent independent research of lead in ducks from across Victoria (</w:t>
      </w:r>
      <w:hyperlink r:id="rId26" w:history="1">
        <w:r w:rsidRPr="004D18E0">
          <w:rPr>
            <w:rStyle w:val="Hyperlink"/>
            <w:rFonts w:ascii="VIC" w:hAnsi="VIC"/>
            <w:sz w:val="24"/>
            <w:szCs w:val="26"/>
            <w:lang w:val="en-AU"/>
          </w:rPr>
          <w:t>Nzabanita et al., 2023</w:t>
        </w:r>
      </w:hyperlink>
      <w:r w:rsidRPr="004D18E0">
        <w:rPr>
          <w:sz w:val="24"/>
          <w:szCs w:val="26"/>
          <w:lang w:val="en-AU"/>
        </w:rPr>
        <w:t>). Long-term data on lead in Victoria’s waterfowl is not available, but the 2002 ban of lead shot for hunting in Victoria will have contributed to reducing the amount of lead entering environmental waterways. For example, a recent review on game meats (</w:t>
      </w:r>
      <w:proofErr w:type="spellStart"/>
      <w:r w:rsidRPr="004D18E0">
        <w:rPr>
          <w:sz w:val="24"/>
          <w:szCs w:val="26"/>
          <w:lang w:val="en-AU"/>
        </w:rPr>
        <w:fldChar w:fldCharType="begin"/>
      </w:r>
      <w:r w:rsidRPr="004D18E0">
        <w:rPr>
          <w:sz w:val="24"/>
          <w:szCs w:val="26"/>
          <w:lang w:val="en-AU"/>
        </w:rPr>
        <w:instrText>HYPERLINK "https://pubmed.ncbi.nlm.nih.gov/34829133/"</w:instrText>
      </w:r>
      <w:r w:rsidRPr="004D18E0">
        <w:rPr>
          <w:sz w:val="24"/>
          <w:szCs w:val="26"/>
          <w:lang w:val="en-AU"/>
        </w:rPr>
      </w:r>
      <w:r w:rsidRPr="004D18E0">
        <w:rPr>
          <w:sz w:val="24"/>
          <w:szCs w:val="26"/>
          <w:lang w:val="en-AU"/>
        </w:rPr>
        <w:fldChar w:fldCharType="separate"/>
      </w:r>
      <w:r w:rsidRPr="004D18E0">
        <w:rPr>
          <w:rStyle w:val="Hyperlink"/>
          <w:rFonts w:ascii="VIC" w:hAnsi="VIC"/>
          <w:sz w:val="24"/>
          <w:szCs w:val="26"/>
          <w:lang w:val="en-AU"/>
        </w:rPr>
        <w:t>Veli</w:t>
      </w:r>
      <w:proofErr w:type="spellEnd"/>
      <w:r w:rsidRPr="004D18E0">
        <w:rPr>
          <w:rStyle w:val="Hyperlink"/>
          <w:rFonts w:ascii="VIC" w:hAnsi="VIC"/>
          <w:sz w:val="24"/>
          <w:szCs w:val="26"/>
          <w:lang w:val="en-AU"/>
        </w:rPr>
        <w:t xml:space="preserve"> Nkosi, 2021</w:t>
      </w:r>
      <w:r w:rsidRPr="004D18E0">
        <w:rPr>
          <w:sz w:val="24"/>
          <w:szCs w:val="26"/>
        </w:rPr>
        <w:fldChar w:fldCharType="end"/>
      </w:r>
      <w:r w:rsidRPr="004D18E0">
        <w:rPr>
          <w:sz w:val="24"/>
          <w:szCs w:val="26"/>
          <w:lang w:val="en-AU"/>
        </w:rPr>
        <w:t>), shows that in territories where lead shot is not yet banned, lead levels were</w:t>
      </w:r>
      <w:r w:rsidR="00021C8F">
        <w:rPr>
          <w:sz w:val="24"/>
          <w:szCs w:val="26"/>
          <w:lang w:val="en-AU"/>
        </w:rPr>
        <w:t>, on average,</w:t>
      </w:r>
      <w:r w:rsidRPr="004D18E0">
        <w:rPr>
          <w:sz w:val="24"/>
          <w:szCs w:val="26"/>
          <w:lang w:val="en-AU"/>
        </w:rPr>
        <w:t xml:space="preserve"> higher in game meats than the concentrations measured in this study.</w:t>
      </w:r>
    </w:p>
    <w:p w14:paraId="0A0E4A0D" w14:textId="1BD5C1F3" w:rsidR="000B09F3" w:rsidRDefault="000B09F3" w:rsidP="004D18E0">
      <w:pPr>
        <w:pStyle w:val="BodyText"/>
        <w:rPr>
          <w:sz w:val="24"/>
          <w:szCs w:val="26"/>
          <w:lang w:val="en-AU"/>
        </w:rPr>
      </w:pPr>
    </w:p>
    <w:p w14:paraId="727E35A8" w14:textId="42286612" w:rsidR="00002E15" w:rsidRDefault="00002E15" w:rsidP="00002E15">
      <w:pPr>
        <w:pStyle w:val="Heading3"/>
      </w:pPr>
      <w:bookmarkStart w:id="61" w:name="_Toc133420172"/>
      <w:bookmarkStart w:id="62" w:name="_Toc133420463"/>
      <w:bookmarkStart w:id="63" w:name="_Toc133420550"/>
      <w:r>
        <w:lastRenderedPageBreak/>
        <w:t>1.11.4 All trace elements in wild duck livers</w:t>
      </w:r>
      <w:bookmarkEnd w:id="61"/>
      <w:bookmarkEnd w:id="62"/>
      <w:bookmarkEnd w:id="63"/>
    </w:p>
    <w:p w14:paraId="6E043D34" w14:textId="3BC17BD4" w:rsidR="00927E13" w:rsidRPr="00041EE1" w:rsidRDefault="004D18E0" w:rsidP="00AC32CD">
      <w:pPr>
        <w:pStyle w:val="BodyText"/>
        <w:jc w:val="both"/>
        <w:rPr>
          <w:sz w:val="24"/>
          <w:szCs w:val="26"/>
          <w:lang w:val="en-AU"/>
        </w:rPr>
      </w:pPr>
      <w:r w:rsidRPr="004D18E0">
        <w:rPr>
          <w:sz w:val="24"/>
          <w:szCs w:val="26"/>
          <w:lang w:val="en-AU"/>
        </w:rPr>
        <w:t>Consumption of wild duck livers (</w:t>
      </w:r>
      <w:proofErr w:type="gramStart"/>
      <w:r w:rsidRPr="004D18E0">
        <w:rPr>
          <w:sz w:val="24"/>
          <w:szCs w:val="26"/>
          <w:lang w:val="en-AU"/>
        </w:rPr>
        <w:t>e.g.</w:t>
      </w:r>
      <w:proofErr w:type="gramEnd"/>
      <w:r w:rsidRPr="004D18E0">
        <w:rPr>
          <w:sz w:val="24"/>
          <w:szCs w:val="26"/>
          <w:lang w:val="en-AU"/>
        </w:rPr>
        <w:t xml:space="preserve"> homemade pâté) presents a higher risk in general due to the higher levels of all trace elements present in these animal products. EPA Victoria’s advice is that a healthy adult eating a standard portion size of wild duck liver is unlikely to be a significant risk, but care should be taken to consider the context of the individual. As is the case for specific elements in duck breast meat, persons who are already in an advice category to avoid a given toxicant (</w:t>
      </w:r>
      <w:proofErr w:type="gramStart"/>
      <w:r w:rsidRPr="004D18E0">
        <w:rPr>
          <w:sz w:val="24"/>
          <w:szCs w:val="26"/>
          <w:lang w:val="en-AU"/>
        </w:rPr>
        <w:t>e.g.</w:t>
      </w:r>
      <w:proofErr w:type="gramEnd"/>
      <w:r w:rsidRPr="004D18E0">
        <w:rPr>
          <w:sz w:val="24"/>
          <w:szCs w:val="26"/>
          <w:lang w:val="en-AU"/>
        </w:rPr>
        <w:t xml:space="preserve"> mercury, lead), or are otherwise exposed to elements in their diet or workplace (e.g. via agrichemical application of copper), should consider limiting or eliminating wild duck liver. Additionally, care should be taken to adhere to standard portion sizes</w:t>
      </w:r>
      <w:r w:rsidR="000B09F3">
        <w:rPr>
          <w:sz w:val="24"/>
          <w:szCs w:val="26"/>
          <w:lang w:val="en-AU"/>
        </w:rPr>
        <w:t>.</w:t>
      </w:r>
    </w:p>
    <w:p w14:paraId="33ACE316" w14:textId="5F06AB3D" w:rsidR="00927E13" w:rsidRDefault="00927E13" w:rsidP="001200DE">
      <w:pPr>
        <w:pStyle w:val="BodyText"/>
      </w:pPr>
    </w:p>
    <w:p w14:paraId="61606BD6" w14:textId="161A70D2" w:rsidR="000B09F3" w:rsidRDefault="00002E15" w:rsidP="00002E15">
      <w:pPr>
        <w:pStyle w:val="Heading2"/>
      </w:pPr>
      <w:bookmarkStart w:id="64" w:name="_Toc133420173"/>
      <w:bookmarkStart w:id="65" w:name="_Toc133420464"/>
      <w:bookmarkStart w:id="66" w:name="_Toc133420551"/>
      <w:r>
        <w:t>1.12 Further investigation of lead at sites</w:t>
      </w:r>
      <w:bookmarkEnd w:id="64"/>
      <w:bookmarkEnd w:id="65"/>
      <w:bookmarkEnd w:id="66"/>
    </w:p>
    <w:p w14:paraId="0B39A508" w14:textId="7AB2CD02" w:rsidR="000B09F3" w:rsidRDefault="000B09F3" w:rsidP="00AC32CD">
      <w:pPr>
        <w:pStyle w:val="BodyText"/>
        <w:jc w:val="both"/>
        <w:rPr>
          <w:sz w:val="24"/>
          <w:szCs w:val="26"/>
        </w:rPr>
      </w:pPr>
      <w:r w:rsidRPr="000B09F3">
        <w:rPr>
          <w:sz w:val="24"/>
          <w:szCs w:val="26"/>
        </w:rPr>
        <w:t xml:space="preserve">At the time of laboratory testing, it was noted that at four sites the duck breasts lab concentrations exceeded food safety guidelines (2% of the total samples). However, two sites (Heart Morass and </w:t>
      </w:r>
      <w:proofErr w:type="spellStart"/>
      <w:r w:rsidRPr="000B09F3">
        <w:rPr>
          <w:sz w:val="24"/>
          <w:szCs w:val="26"/>
        </w:rPr>
        <w:t>Macleods</w:t>
      </w:r>
      <w:proofErr w:type="spellEnd"/>
      <w:r w:rsidRPr="000B09F3">
        <w:rPr>
          <w:sz w:val="24"/>
          <w:szCs w:val="26"/>
        </w:rPr>
        <w:t xml:space="preserve"> Morass) already had EPA advice in place regarding high PFAS levels. Environmental sampling was subsequently undertaken only at Serpentine Creek and Richardson’s lagoon. Forty-five samples were collected at each waterbody (15 water, 15 sediment and 15 soil samples). Only two water samples (at Richardson’s Lagoon) returned lead concentrations exceeding Australian and New Zealand Guidelines for Fresh and Marine Water (ANZG 2018). These were 1.7x and 2.7x higher than default guidelines. No nearby point-source of contamination (industrial site, landfill, illegal dumping) was identified.</w:t>
      </w:r>
    </w:p>
    <w:p w14:paraId="386FD1EB" w14:textId="77777777" w:rsidR="000B09F3" w:rsidRPr="000B09F3" w:rsidRDefault="000B09F3" w:rsidP="00AC32CD">
      <w:pPr>
        <w:pStyle w:val="BodyText"/>
        <w:jc w:val="both"/>
        <w:rPr>
          <w:sz w:val="24"/>
          <w:szCs w:val="26"/>
        </w:rPr>
      </w:pPr>
    </w:p>
    <w:p w14:paraId="3D7CE039" w14:textId="77777777" w:rsidR="000B09F3" w:rsidRPr="000B09F3" w:rsidRDefault="000B09F3" w:rsidP="00AC32CD">
      <w:pPr>
        <w:pStyle w:val="BodyText"/>
        <w:jc w:val="both"/>
        <w:rPr>
          <w:sz w:val="24"/>
          <w:szCs w:val="26"/>
        </w:rPr>
      </w:pPr>
      <w:r w:rsidRPr="000B09F3">
        <w:rPr>
          <w:sz w:val="24"/>
          <w:szCs w:val="26"/>
        </w:rPr>
        <w:t xml:space="preserve">In considering site-specific advice, some aspects of duck biology need to be considered. Although these duck species do tend to habitually revisit locations, they can range over substantially larger areas (sometimes up to hundreds of </w:t>
      </w:r>
      <w:proofErr w:type="spellStart"/>
      <w:r w:rsidRPr="000B09F3">
        <w:rPr>
          <w:sz w:val="24"/>
          <w:szCs w:val="26"/>
        </w:rPr>
        <w:t>kilometres</w:t>
      </w:r>
      <w:proofErr w:type="spellEnd"/>
      <w:r w:rsidRPr="000B09F3">
        <w:rPr>
          <w:sz w:val="24"/>
          <w:szCs w:val="26"/>
        </w:rPr>
        <w:t xml:space="preserve">) when migrating to and from breeding sites and/or when following rainfall. This presents obvious complications when unravelling site-specific effects. It is probably sensible to consider any site-level differences observed as ‘effects seen in a flock that is frequenting a site’, rather than being specific to a particular site </w:t>
      </w:r>
      <w:r w:rsidRPr="000B09F3">
        <w:rPr>
          <w:i/>
          <w:iCs/>
          <w:sz w:val="24"/>
          <w:szCs w:val="26"/>
        </w:rPr>
        <w:t>per se</w:t>
      </w:r>
      <w:r w:rsidRPr="000B09F3">
        <w:rPr>
          <w:sz w:val="24"/>
          <w:szCs w:val="26"/>
        </w:rPr>
        <w:t>. A flock that tends to frequent a given lake could well show higher levels of a trace element, but the birds might be exposed at a nearby untested location.</w:t>
      </w:r>
    </w:p>
    <w:p w14:paraId="59A788D8" w14:textId="77777777" w:rsidR="000B09F3" w:rsidRDefault="000B09F3" w:rsidP="000B09F3">
      <w:pPr>
        <w:widowControl w:val="0"/>
        <w:tabs>
          <w:tab w:val="left" w:pos="722"/>
          <w:tab w:val="left" w:pos="723"/>
        </w:tabs>
        <w:autoSpaceDE w:val="0"/>
        <w:autoSpaceDN w:val="0"/>
        <w:spacing w:before="123" w:after="0"/>
        <w:rPr>
          <w:rFonts w:ascii="VIC-Medium"/>
          <w:sz w:val="28"/>
          <w:szCs w:val="28"/>
        </w:rPr>
      </w:pPr>
    </w:p>
    <w:p w14:paraId="1369143A" w14:textId="77777777" w:rsidR="000B09F3" w:rsidRPr="0062553E" w:rsidRDefault="000B09F3" w:rsidP="000B09F3">
      <w:pPr>
        <w:pStyle w:val="NormalWeb"/>
        <w:numPr>
          <w:ilvl w:val="0"/>
          <w:numId w:val="19"/>
        </w:numPr>
        <w:jc w:val="both"/>
        <w:rPr>
          <w:rFonts w:ascii="VIC" w:hAnsi="VIC"/>
          <w:color w:val="000000" w:themeColor="text1"/>
        </w:rPr>
      </w:pPr>
      <w:r w:rsidRPr="0062553E">
        <w:rPr>
          <w:rFonts w:ascii="VIC" w:hAnsi="VIC"/>
          <w:color w:val="000000" w:themeColor="text1"/>
        </w:rPr>
        <w:t>Where opportunities present, future assessments of the eight trace elements in wild waterfowl meat and edible offal is warranted.</w:t>
      </w:r>
    </w:p>
    <w:p w14:paraId="4139B3A3" w14:textId="77777777" w:rsidR="000B09F3" w:rsidRPr="0062553E" w:rsidRDefault="000B09F3" w:rsidP="000B09F3">
      <w:pPr>
        <w:pStyle w:val="NormalWeb"/>
        <w:numPr>
          <w:ilvl w:val="0"/>
          <w:numId w:val="19"/>
        </w:numPr>
        <w:jc w:val="both"/>
        <w:rPr>
          <w:rFonts w:ascii="VIC" w:hAnsi="VIC"/>
          <w:color w:val="000000" w:themeColor="text1"/>
        </w:rPr>
      </w:pPr>
      <w:r w:rsidRPr="0062553E">
        <w:rPr>
          <w:rFonts w:ascii="VIC" w:hAnsi="VIC"/>
          <w:color w:val="000000" w:themeColor="text1"/>
        </w:rPr>
        <w:t>EPA Victoria will finalise its full report in 2023 and make it available to the public and publish the finding in a peer reviewed journal.</w:t>
      </w:r>
    </w:p>
    <w:p w14:paraId="6B9377D5" w14:textId="77777777" w:rsidR="000B09F3" w:rsidRPr="000B09F3" w:rsidRDefault="000B09F3" w:rsidP="000B09F3">
      <w:pPr>
        <w:widowControl w:val="0"/>
        <w:tabs>
          <w:tab w:val="left" w:pos="722"/>
          <w:tab w:val="left" w:pos="723"/>
        </w:tabs>
        <w:autoSpaceDE w:val="0"/>
        <w:autoSpaceDN w:val="0"/>
        <w:spacing w:before="123" w:after="0"/>
        <w:rPr>
          <w:rFonts w:ascii="VIC-Medium"/>
          <w:sz w:val="28"/>
          <w:szCs w:val="28"/>
        </w:rPr>
      </w:pPr>
    </w:p>
    <w:p w14:paraId="6FB430BB" w14:textId="5C80AAF3" w:rsidR="00927E13" w:rsidRPr="006B02DF" w:rsidRDefault="00927E13" w:rsidP="000B09F3">
      <w:pPr>
        <w:pStyle w:val="ListParagraph"/>
        <w:widowControl w:val="0"/>
        <w:tabs>
          <w:tab w:val="left" w:pos="0"/>
          <w:tab w:val="left" w:pos="1588"/>
        </w:tabs>
        <w:autoSpaceDE w:val="0"/>
        <w:autoSpaceDN w:val="0"/>
        <w:spacing w:before="1" w:after="0"/>
        <w:ind w:left="0"/>
        <w:contextualSpacing w:val="0"/>
        <w:sectPr w:rsidR="00927E13" w:rsidRPr="006B02DF" w:rsidSect="00435653">
          <w:pgSz w:w="11900" w:h="16840"/>
          <w:pgMar w:top="1194" w:right="740" w:bottom="999" w:left="987" w:header="735" w:footer="798" w:gutter="0"/>
          <w:cols w:space="720"/>
        </w:sectPr>
      </w:pPr>
    </w:p>
    <w:p w14:paraId="24184116" w14:textId="77777777" w:rsidR="00E20996" w:rsidRDefault="00E20996" w:rsidP="00AE1996">
      <w:pPr>
        <w:pStyle w:val="Heading2"/>
      </w:pPr>
      <w:bookmarkStart w:id="67" w:name="_Toc133420174"/>
      <w:bookmarkStart w:id="68" w:name="_Toc133420465"/>
      <w:bookmarkStart w:id="69" w:name="_Toc133420552"/>
      <w:r>
        <w:lastRenderedPageBreak/>
        <w:t>Accessibility</w:t>
      </w:r>
      <w:bookmarkEnd w:id="67"/>
      <w:bookmarkEnd w:id="68"/>
      <w:bookmarkEnd w:id="69"/>
    </w:p>
    <w:p w14:paraId="1100D48A" w14:textId="3A8E2403" w:rsidR="00E20996" w:rsidRPr="00572CA7" w:rsidRDefault="00E20996" w:rsidP="00E20996">
      <w:r>
        <w:t>Contact us if you need this information in an accessible</w:t>
      </w:r>
      <w:r>
        <w:rPr>
          <w:spacing w:val="-5"/>
        </w:rPr>
        <w:t xml:space="preserve"> </w:t>
      </w:r>
      <w:r>
        <w:t>format</w:t>
      </w:r>
      <w:r>
        <w:rPr>
          <w:spacing w:val="-5"/>
        </w:rPr>
        <w:t xml:space="preserve"> </w:t>
      </w:r>
      <w:r>
        <w:t>such</w:t>
      </w:r>
      <w:r>
        <w:rPr>
          <w:spacing w:val="-5"/>
        </w:rPr>
        <w:t xml:space="preserve"> </w:t>
      </w:r>
      <w:r>
        <w:t>as</w:t>
      </w:r>
      <w:r>
        <w:rPr>
          <w:spacing w:val="-5"/>
        </w:rPr>
        <w:t xml:space="preserve"> </w:t>
      </w:r>
      <w:r>
        <w:t>large</w:t>
      </w:r>
      <w:r>
        <w:rPr>
          <w:spacing w:val="-5"/>
        </w:rPr>
        <w:t xml:space="preserve"> </w:t>
      </w:r>
      <w:r>
        <w:t>print</w:t>
      </w:r>
      <w:r>
        <w:rPr>
          <w:spacing w:val="-5"/>
        </w:rPr>
        <w:t xml:space="preserve"> </w:t>
      </w:r>
      <w:r>
        <w:t>or</w:t>
      </w:r>
      <w:r>
        <w:rPr>
          <w:spacing w:val="-5"/>
        </w:rPr>
        <w:t xml:space="preserve"> </w:t>
      </w:r>
      <w:r>
        <w:t>audio.</w:t>
      </w:r>
      <w:r w:rsidR="00572CA7">
        <w:br/>
      </w:r>
      <w:r>
        <w:t>Please</w:t>
      </w:r>
      <w:r>
        <w:rPr>
          <w:spacing w:val="-5"/>
        </w:rPr>
        <w:t xml:space="preserve"> </w:t>
      </w:r>
      <w:r>
        <w:t>telephone</w:t>
      </w:r>
      <w:r>
        <w:rPr>
          <w:spacing w:val="-5"/>
        </w:rPr>
        <w:t xml:space="preserve"> </w:t>
      </w:r>
      <w:r w:rsidRPr="00572CA7">
        <w:rPr>
          <w:rStyle w:val="Hyperlink"/>
        </w:rPr>
        <w:t>1300 372 842</w:t>
      </w:r>
      <w:r>
        <w:rPr>
          <w:spacing w:val="-5"/>
        </w:rPr>
        <w:t xml:space="preserve"> </w:t>
      </w:r>
      <w:r>
        <w:t xml:space="preserve">or email </w:t>
      </w:r>
      <w:hyperlink r:id="rId27">
        <w:r w:rsidRPr="00572CA7">
          <w:rPr>
            <w:rStyle w:val="Hyperlink"/>
          </w:rPr>
          <w:t>contact@epa.vic.gov.au</w:t>
        </w:r>
      </w:hyperlink>
    </w:p>
    <w:p w14:paraId="67E6780A" w14:textId="55A32DDC" w:rsidR="00E20996" w:rsidRPr="00AE1996" w:rsidRDefault="00E20996" w:rsidP="00AE1996">
      <w:pPr>
        <w:pStyle w:val="Heading2"/>
      </w:pPr>
      <w:bookmarkStart w:id="70" w:name="_Toc133420175"/>
      <w:bookmarkStart w:id="71" w:name="_Toc133420466"/>
      <w:bookmarkStart w:id="72" w:name="_Toc133420553"/>
      <w:r w:rsidRPr="00AE1996">
        <w:t>Interpreter assistance</w:t>
      </w:r>
      <w:bookmarkEnd w:id="70"/>
      <w:bookmarkEnd w:id="71"/>
      <w:bookmarkEnd w:id="72"/>
      <w:r w:rsidR="001B403E">
        <w:br/>
      </w:r>
    </w:p>
    <w:p w14:paraId="0F980388" w14:textId="77777777" w:rsidR="00E20996" w:rsidRPr="00A247D3" w:rsidRDefault="00E20996" w:rsidP="00E20996">
      <w:pPr>
        <w:pStyle w:val="SmallBody"/>
      </w:pPr>
      <w:r w:rsidRPr="00A247D3">
        <w:rPr>
          <w:noProof/>
        </w:rPr>
        <w:drawing>
          <wp:inline distT="0" distB="0" distL="0" distR="0" wp14:anchorId="17F82988" wp14:editId="265DFBD5">
            <wp:extent cx="533400" cy="533400"/>
            <wp:effectExtent l="0" t="0" r="0"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55CC4176" w14:textId="7A085E4E" w:rsidR="00E20996" w:rsidRDefault="00572CA7" w:rsidP="00E20996">
      <w:pPr>
        <w:rPr>
          <w:color w:val="005FB4"/>
        </w:rPr>
        <w:sectPr w:rsidR="00E20996" w:rsidSect="00572CA7">
          <w:headerReference w:type="even" r:id="rId29"/>
          <w:footerReference w:type="default" r:id="rId30"/>
          <w:headerReference w:type="first" r:id="rId31"/>
          <w:pgSz w:w="11910" w:h="16840"/>
          <w:pgMar w:top="1500" w:right="460" w:bottom="1840" w:left="862" w:header="745" w:footer="747" w:gutter="0"/>
          <w:pgNumType w:start="2"/>
          <w:cols w:space="720"/>
        </w:sectPr>
      </w:pPr>
      <w:r>
        <w:br/>
      </w:r>
      <w:r w:rsidR="00E20996" w:rsidRPr="00A247D3">
        <w:t xml:space="preserve">If you need interpreter assistance or want this document translated, please call </w:t>
      </w:r>
      <w:r w:rsidR="00E20996" w:rsidRPr="00572CA7">
        <w:rPr>
          <w:rStyle w:val="Hyperlink"/>
          <w:rFonts w:eastAsiaTheme="minorEastAsia"/>
        </w:rPr>
        <w:t>131 450</w:t>
      </w:r>
      <w:r w:rsidR="00E20996" w:rsidRPr="006B038E">
        <w:rPr>
          <w:color w:val="005FB4"/>
        </w:rPr>
        <w:t xml:space="preserve"> </w:t>
      </w:r>
      <w:r w:rsidR="00E20996" w:rsidRPr="00A247D3">
        <w:t xml:space="preserve">and advise your preferred language. If you are deaf, or have a hearing or speech impairment, contact us through the </w:t>
      </w:r>
      <w:hyperlink r:id="rId32" w:history="1">
        <w:r w:rsidR="00E20996" w:rsidRPr="00490469">
          <w:rPr>
            <w:rStyle w:val="Hyperlink"/>
            <w:rFonts w:eastAsiaTheme="majorEastAsia"/>
          </w:rPr>
          <w:t>National Relay Service</w:t>
        </w:r>
      </w:hyperlink>
      <w:r w:rsidR="00E20996" w:rsidRPr="00490469">
        <w:rPr>
          <w:color w:val="005FB4"/>
        </w:rPr>
        <w:t>.</w:t>
      </w:r>
    </w:p>
    <w:p w14:paraId="3BC12D9B" w14:textId="380E2A02" w:rsidR="00572CA7" w:rsidRDefault="00FF0159" w:rsidP="00212E99">
      <w:pPr>
        <w:pStyle w:val="BodyText"/>
        <w:tabs>
          <w:tab w:val="left" w:pos="426"/>
        </w:tabs>
        <w:spacing w:before="122"/>
        <w:ind w:right="205"/>
        <w:rPr>
          <w:szCs w:val="20"/>
        </w:rPr>
        <w:sectPr w:rsidR="00572CA7" w:rsidSect="00435653">
          <w:pgSz w:w="11900" w:h="16840"/>
          <w:pgMar w:top="1194" w:right="740" w:bottom="1320" w:left="987" w:header="283" w:footer="784" w:gutter="0"/>
          <w:cols w:space="720"/>
        </w:sectPr>
      </w:pPr>
      <w:r>
        <w:rPr>
          <w:noProof/>
        </w:rPr>
        <w:lastRenderedPageBreak/>
        <w:drawing>
          <wp:anchor distT="0" distB="0" distL="114300" distR="114300" simplePos="0" relativeHeight="251658243" behindDoc="1" locked="0" layoutInCell="1" allowOverlap="1" wp14:anchorId="1C3003D8" wp14:editId="0A799ABD">
            <wp:simplePos x="0" y="0"/>
            <wp:positionH relativeFrom="column">
              <wp:posOffset>-697083</wp:posOffset>
            </wp:positionH>
            <wp:positionV relativeFrom="paragraph">
              <wp:posOffset>-758190</wp:posOffset>
            </wp:positionV>
            <wp:extent cx="7620000" cy="107704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20000" cy="10770453"/>
                    </a:xfrm>
                    <a:prstGeom prst="rect">
                      <a:avLst/>
                    </a:prstGeom>
                  </pic:spPr>
                </pic:pic>
              </a:graphicData>
            </a:graphic>
            <wp14:sizeRelH relativeFrom="page">
              <wp14:pctWidth>0</wp14:pctWidth>
            </wp14:sizeRelH>
            <wp14:sizeRelV relativeFrom="page">
              <wp14:pctHeight>0</wp14:pctHeight>
            </wp14:sizeRelV>
          </wp:anchor>
        </w:drawing>
      </w:r>
    </w:p>
    <w:p w14:paraId="1262E382" w14:textId="23A87ACA" w:rsidR="0079361E" w:rsidRPr="006B02DF" w:rsidRDefault="00E33788" w:rsidP="00212E99">
      <w:pPr>
        <w:pStyle w:val="BodyText"/>
        <w:tabs>
          <w:tab w:val="left" w:pos="426"/>
        </w:tabs>
        <w:spacing w:before="122"/>
        <w:ind w:right="205"/>
        <w:rPr>
          <w:szCs w:val="20"/>
        </w:rPr>
      </w:pPr>
      <w:r>
        <w:rPr>
          <w:noProof/>
          <w:szCs w:val="20"/>
        </w:rPr>
        <mc:AlternateContent>
          <mc:Choice Requires="wps">
            <w:drawing>
              <wp:anchor distT="0" distB="0" distL="114300" distR="114300" simplePos="0" relativeHeight="251658244" behindDoc="0" locked="0" layoutInCell="1" allowOverlap="1" wp14:anchorId="117B59B3" wp14:editId="302192AD">
                <wp:simplePos x="0" y="0"/>
                <wp:positionH relativeFrom="column">
                  <wp:posOffset>-271595</wp:posOffset>
                </wp:positionH>
                <wp:positionV relativeFrom="paragraph">
                  <wp:posOffset>8106410</wp:posOffset>
                </wp:positionV>
                <wp:extent cx="2971800" cy="1409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971800" cy="1409700"/>
                        </a:xfrm>
                        <a:prstGeom prst="rect">
                          <a:avLst/>
                        </a:prstGeom>
                        <a:noFill/>
                        <a:ln w="6350">
                          <a:noFill/>
                        </a:ln>
                      </wps:spPr>
                      <wps:txbx>
                        <w:txbxContent>
                          <w:p w14:paraId="3E1E899C" w14:textId="0F48D781" w:rsidR="00E33788" w:rsidRPr="002D7699" w:rsidRDefault="00E33788" w:rsidP="00E33788">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3491EECE" wp14:editId="3EB12D12">
                                  <wp:extent cx="216000" cy="216000"/>
                                  <wp:effectExtent l="0" t="0" r="0" b="0"/>
                                  <wp:docPr id="70" name="Picture 7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880A41D" wp14:editId="6494E20E">
                                  <wp:extent cx="216000" cy="216000"/>
                                  <wp:effectExtent l="0" t="0" r="0" b="0"/>
                                  <wp:docPr id="71" name="Picture 7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36"/>
                                          </pic:cNvPr>
                                          <pic:cNvPicPr/>
                                        </pic:nvPicPr>
                                        <pic:blipFill>
                                          <a:blip r:embed="rId3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D18025C" wp14:editId="41C2ADDD">
                                  <wp:extent cx="216000" cy="216000"/>
                                  <wp:effectExtent l="0" t="0" r="0" b="0"/>
                                  <wp:docPr id="72" name="Picture 7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9AB09AB" wp14:editId="30332AE7">
                                  <wp:extent cx="216000" cy="216000"/>
                                  <wp:effectExtent l="0" t="0" r="0" b="0"/>
                                  <wp:docPr id="73" name="Picture 7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81E0B2A" w14:textId="2E69FBF1" w:rsidR="00E33788" w:rsidRPr="00E33788" w:rsidRDefault="00D15334" w:rsidP="00E33788">
                            <w:pPr>
                              <w:pStyle w:val="BodyText"/>
                              <w:spacing w:after="120"/>
                              <w:rPr>
                                <w:rStyle w:val="Hyperlink"/>
                                <w:color w:val="FFFFFF" w:themeColor="background1"/>
                              </w:rPr>
                            </w:pPr>
                            <w:r>
                              <w:rPr>
                                <w:rStyle w:val="Hyperlink"/>
                                <w:color w:val="FFFFFF" w:themeColor="background1"/>
                              </w:rPr>
                              <w:t xml:space="preserve"> </w:t>
                            </w:r>
                            <w:hyperlink r:id="rId42" w:history="1">
                              <w:r w:rsidR="00E33788" w:rsidRPr="001B1BD1">
                                <w:rPr>
                                  <w:rStyle w:val="Hyperlink"/>
                                  <w:color w:val="FFFFFF" w:themeColor="background1"/>
                                </w:rPr>
                                <w:t>epa.vic.gov.au</w:t>
                              </w:r>
                            </w:hyperlink>
                            <w:r w:rsidR="00E33788" w:rsidRPr="001B1BD1">
                              <w:rPr>
                                <w:rStyle w:val="Hyperlink"/>
                                <w:color w:val="FFFFFF" w:themeColor="background1"/>
                              </w:rPr>
                              <w:t xml:space="preserve"> </w:t>
                            </w:r>
                          </w:p>
                          <w:p w14:paraId="239F0B5F" w14:textId="72BC207C"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Environment Protection Authority Victoria</w:t>
                            </w:r>
                          </w:p>
                          <w:p w14:paraId="27840F6F" w14:textId="36371747"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GPO BOX 4395 Melbourne VIC 3001</w:t>
                            </w:r>
                          </w:p>
                          <w:p w14:paraId="1050D996" w14:textId="7A84DDB9"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1300 372 842</w:t>
                            </w:r>
                          </w:p>
                          <w:p w14:paraId="0B01835F" w14:textId="77777777" w:rsidR="00E33788" w:rsidRDefault="00E33788" w:rsidP="00E33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7B59B3" id="_x0000_t202" coordsize="21600,21600" o:spt="202" path="m,l,21600r21600,l21600,xe">
                <v:stroke joinstyle="miter"/>
                <v:path gradientshapeok="t" o:connecttype="rect"/>
              </v:shapetype>
              <v:shape id="Text Box 57" o:spid="_x0000_s1026" type="#_x0000_t202" style="position:absolute;margin-left:-21.4pt;margin-top:638.3pt;width:234pt;height:11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2iFwIAAC0EAAAOAAAAZHJzL2Uyb0RvYy54bWysU8tu2zAQvBfoPxC815JcJ44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" filled="f" stroked="f" strokeweight=".5pt">
                <v:textbox>
                  <w:txbxContent>
                    <w:p w14:paraId="3E1E899C" w14:textId="0F48D781" w:rsidR="00E33788" w:rsidRPr="002D7699" w:rsidRDefault="00E33788" w:rsidP="00E33788">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3491EECE" wp14:editId="3EB12D12">
                            <wp:extent cx="216000" cy="216000"/>
                            <wp:effectExtent l="0" t="0" r="0" b="0"/>
                            <wp:docPr id="70" name="Picture 7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43"/>
                                    </pic:cNvPr>
                                    <pic:cNvPicPr/>
                                  </pic:nvPicPr>
                                  <pic:blipFill>
                                    <a:blip r:embed="rId4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880A41D" wp14:editId="6494E20E">
                            <wp:extent cx="216000" cy="216000"/>
                            <wp:effectExtent l="0" t="0" r="0" b="0"/>
                            <wp:docPr id="71" name="Picture 7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D18025C" wp14:editId="41C2ADDD">
                            <wp:extent cx="216000" cy="216000"/>
                            <wp:effectExtent l="0" t="0" r="0" b="0"/>
                            <wp:docPr id="72" name="Picture 7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9AB09AB" wp14:editId="30332AE7">
                            <wp:extent cx="216000" cy="216000"/>
                            <wp:effectExtent l="0" t="0" r="0" b="0"/>
                            <wp:docPr id="73" name="Picture 7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81E0B2A" w14:textId="2E69FBF1" w:rsidR="00E33788" w:rsidRPr="00E33788" w:rsidRDefault="00D15334" w:rsidP="00E33788">
                      <w:pPr>
                        <w:pStyle w:val="BodyText"/>
                        <w:spacing w:after="120"/>
                        <w:rPr>
                          <w:rStyle w:val="Hyperlink"/>
                          <w:color w:val="FFFFFF" w:themeColor="background1"/>
                        </w:rPr>
                      </w:pPr>
                      <w:r>
                        <w:rPr>
                          <w:rStyle w:val="Hyperlink"/>
                          <w:color w:val="FFFFFF" w:themeColor="background1"/>
                        </w:rPr>
                        <w:t xml:space="preserve"> </w:t>
                      </w:r>
                      <w:hyperlink r:id="rId51" w:history="1">
                        <w:r w:rsidR="00E33788" w:rsidRPr="001B1BD1">
                          <w:rPr>
                            <w:rStyle w:val="Hyperlink"/>
                            <w:color w:val="FFFFFF" w:themeColor="background1"/>
                          </w:rPr>
                          <w:t>epa.vic.gov.au</w:t>
                        </w:r>
                      </w:hyperlink>
                      <w:r w:rsidR="00E33788" w:rsidRPr="001B1BD1">
                        <w:rPr>
                          <w:rStyle w:val="Hyperlink"/>
                          <w:color w:val="FFFFFF" w:themeColor="background1"/>
                        </w:rPr>
                        <w:t xml:space="preserve"> </w:t>
                      </w:r>
                    </w:p>
                    <w:p w14:paraId="239F0B5F" w14:textId="72BC207C"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Environment Protection Authority Victoria</w:t>
                      </w:r>
                    </w:p>
                    <w:p w14:paraId="27840F6F" w14:textId="36371747"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GPO BOX 4395 Melbourne VIC 3001</w:t>
                      </w:r>
                    </w:p>
                    <w:p w14:paraId="1050D996" w14:textId="7A84DDB9"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1300 372 842</w:t>
                      </w:r>
                    </w:p>
                    <w:p w14:paraId="0B01835F" w14:textId="77777777" w:rsidR="00E33788" w:rsidRDefault="00E33788" w:rsidP="00E33788"/>
                  </w:txbxContent>
                </v:textbox>
              </v:shape>
            </w:pict>
          </mc:Fallback>
        </mc:AlternateContent>
      </w:r>
    </w:p>
    <w:sectPr w:rsidR="0079361E" w:rsidRPr="006B02DF" w:rsidSect="00572CA7">
      <w:type w:val="continuous"/>
      <w:pgSz w:w="11900" w:h="16840"/>
      <w:pgMar w:top="1194" w:right="740" w:bottom="1320" w:left="987" w:header="283"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F83FA" w14:textId="77777777" w:rsidR="002A4B07" w:rsidRDefault="002A4B07" w:rsidP="00284CBB">
      <w:pPr>
        <w:spacing w:after="0"/>
      </w:pPr>
      <w:r>
        <w:separator/>
      </w:r>
    </w:p>
    <w:p w14:paraId="50B70256" w14:textId="77777777" w:rsidR="002A4B07" w:rsidRDefault="002A4B07"/>
    <w:p w14:paraId="17E1706A" w14:textId="77777777" w:rsidR="002A4B07" w:rsidRDefault="002A4B07"/>
    <w:p w14:paraId="3EA25DD0" w14:textId="77777777" w:rsidR="002A4B07" w:rsidRDefault="002A4B07"/>
    <w:p w14:paraId="75F5BD17" w14:textId="77777777" w:rsidR="002A4B07" w:rsidRDefault="002A4B07"/>
  </w:endnote>
  <w:endnote w:type="continuationSeparator" w:id="0">
    <w:p w14:paraId="6D851A13" w14:textId="77777777" w:rsidR="002A4B07" w:rsidRDefault="002A4B07" w:rsidP="00284CBB">
      <w:pPr>
        <w:spacing w:after="0"/>
      </w:pPr>
      <w:r>
        <w:continuationSeparator/>
      </w:r>
    </w:p>
    <w:p w14:paraId="26463CB8" w14:textId="77777777" w:rsidR="002A4B07" w:rsidRDefault="002A4B07"/>
    <w:p w14:paraId="6F943562" w14:textId="77777777" w:rsidR="002A4B07" w:rsidRDefault="002A4B07"/>
    <w:p w14:paraId="23D0E8F0" w14:textId="77777777" w:rsidR="002A4B07" w:rsidRDefault="002A4B07"/>
    <w:p w14:paraId="20850E3D" w14:textId="77777777" w:rsidR="002A4B07" w:rsidRDefault="002A4B07"/>
  </w:endnote>
  <w:endnote w:type="continuationNotice" w:id="1">
    <w:p w14:paraId="696CCE1D" w14:textId="77777777" w:rsidR="002A4B07" w:rsidRDefault="002A4B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IC-Medium">
    <w:altName w:val="Cambria"/>
    <w:charset w:val="00"/>
    <w:family w:val="roman"/>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VIC Medium Italic">
    <w:altName w:val="Calibri"/>
    <w:panose1 w:val="000006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ArialMT">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934482455"/>
      <w:docPartObj>
        <w:docPartGallery w:val="Page Numbers (Top of Page)"/>
        <w:docPartUnique/>
      </w:docPartObj>
    </w:sdtPr>
    <w:sdtEndPr>
      <w:rPr>
        <w:b/>
        <w:bCs/>
        <w:sz w:val="16"/>
      </w:rPr>
    </w:sdtEndPr>
    <w:sdtContent>
      <w:p w14:paraId="428CD69F" w14:textId="0BCAC977" w:rsidR="003E5508" w:rsidRPr="002D4A6C" w:rsidRDefault="00742582" w:rsidP="00CB7FC0">
        <w:pPr>
          <w:pStyle w:val="FooterDocDescription"/>
        </w:pPr>
        <w:r>
          <w:rPr>
            <w:noProof/>
          </w:rPr>
          <mc:AlternateContent>
            <mc:Choice Requires="wps">
              <w:drawing>
                <wp:anchor distT="0" distB="0" distL="114300" distR="114300" simplePos="0" relativeHeight="251658243" behindDoc="0" locked="0" layoutInCell="1" allowOverlap="1" wp14:anchorId="36E02F72" wp14:editId="25F566F4">
                  <wp:simplePos x="0" y="0"/>
                  <wp:positionH relativeFrom="column">
                    <wp:posOffset>5229860</wp:posOffset>
                  </wp:positionH>
                  <wp:positionV relativeFrom="paragraph">
                    <wp:posOffset>-116782</wp:posOffset>
                  </wp:positionV>
                  <wp:extent cx="1334308" cy="75184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4AF270F2" w14:textId="77777777" w:rsidR="00742582" w:rsidRDefault="00742582" w:rsidP="00742582">
                              <w:pPr>
                                <w:ind w:left="-113"/>
                              </w:pPr>
                              <w:r>
                                <w:rPr>
                                  <w:noProof/>
                                </w:rPr>
                                <w:drawing>
                                  <wp:inline distT="0" distB="0" distL="0" distR="0" wp14:anchorId="51E3D612" wp14:editId="2C98486E">
                                    <wp:extent cx="1290939" cy="7033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02F72" id="_x0000_t202" coordsize="21600,21600" o:spt="202" path="m,l,21600r21600,l21600,xe">
                  <v:stroke joinstyle="miter"/>
                  <v:path gradientshapeok="t" o:connecttype="rect"/>
                </v:shapetype>
                <v:shape id="Text Box 7" o:spid="_x0000_s1029" type="#_x0000_t202" style="position:absolute;margin-left:411.8pt;margin-top:-9.2pt;width:105.05pt;height:59.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kBGQIAADM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" filled="f" stroked="f" strokeweight=".5pt">
                  <v:textbox>
                    <w:txbxContent>
                      <w:p w14:paraId="4AF270F2" w14:textId="77777777" w:rsidR="00742582" w:rsidRDefault="00742582" w:rsidP="00742582">
                        <w:pPr>
                          <w:ind w:left="-113"/>
                        </w:pPr>
                        <w:r>
                          <w:rPr>
                            <w:noProof/>
                          </w:rPr>
                          <w:drawing>
                            <wp:inline distT="0" distB="0" distL="0" distR="0" wp14:anchorId="51E3D612" wp14:editId="2C98486E">
                              <wp:extent cx="1290939" cy="7033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E5508">
          <w:t>Trace metals in waterfowl and human risk assessment</w:t>
        </w:r>
      </w:p>
      <w:p w14:paraId="7888CEE0" w14:textId="77777777" w:rsidR="00742582" w:rsidRPr="00FF6807" w:rsidRDefault="00742582" w:rsidP="00742582">
        <w:pPr>
          <w:pStyle w:val="Footertext"/>
          <w:rPr>
            <w:b/>
            <w:bCs/>
            <w:color w:val="auto"/>
            <w:sz w:val="22"/>
            <w:lang w:eastAsia="en-AU"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3F3B7FE6" w14:textId="0FBB2378" w:rsidR="00742582" w:rsidRDefault="00742582">
    <w:pPr>
      <w:pStyle w:val="Footer"/>
    </w:pPr>
    <w:r>
      <w:rPr>
        <w:noProof/>
        <w:szCs w:val="16"/>
      </w:rPr>
      <mc:AlternateContent>
        <mc:Choice Requires="wps">
          <w:drawing>
            <wp:anchor distT="0" distB="0" distL="114300" distR="114300" simplePos="0" relativeHeight="251658244" behindDoc="0" locked="0" layoutInCell="1" allowOverlap="1" wp14:anchorId="0FF76B7D" wp14:editId="21E346C5">
              <wp:simplePos x="0" y="0"/>
              <wp:positionH relativeFrom="column">
                <wp:posOffset>-20320</wp:posOffset>
              </wp:positionH>
              <wp:positionV relativeFrom="paragraph">
                <wp:posOffset>228658</wp:posOffset>
              </wp:positionV>
              <wp:extent cx="6492875" cy="0"/>
              <wp:effectExtent l="0" t="0" r="9525" b="12700"/>
              <wp:wrapNone/>
              <wp:docPr id="8" name="Straight Connector 8"/>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A153D" id="Straight Connector 8"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" strokecolor="#00b4e1" strokeweight="1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352929937"/>
      <w:docPartObj>
        <w:docPartGallery w:val="Page Numbers (Top of Page)"/>
        <w:docPartUnique/>
      </w:docPartObj>
    </w:sdtPr>
    <w:sdtEndPr>
      <w:rPr>
        <w:b/>
        <w:bCs/>
        <w:sz w:val="16"/>
      </w:rPr>
    </w:sdtEndPr>
    <w:sdtContent>
      <w:p w14:paraId="3923195C" w14:textId="77777777" w:rsidR="00E20996" w:rsidRPr="002D4A6C" w:rsidRDefault="00E20996" w:rsidP="00754BB0">
        <w:pPr>
          <w:pStyle w:val="FooterDocDescription"/>
          <w:rPr>
            <w:szCs w:val="16"/>
          </w:rPr>
        </w:pPr>
        <w:r>
          <w:rPr>
            <w:noProof/>
          </w:rPr>
          <mc:AlternateContent>
            <mc:Choice Requires="wps">
              <w:drawing>
                <wp:anchor distT="0" distB="0" distL="114300" distR="114300" simplePos="0" relativeHeight="251658247" behindDoc="0" locked="0" layoutInCell="1" allowOverlap="1" wp14:anchorId="47AE5674" wp14:editId="16F9CED5">
                  <wp:simplePos x="0" y="0"/>
                  <wp:positionH relativeFrom="column">
                    <wp:posOffset>5229860</wp:posOffset>
                  </wp:positionH>
                  <wp:positionV relativeFrom="paragraph">
                    <wp:posOffset>-116782</wp:posOffset>
                  </wp:positionV>
                  <wp:extent cx="1334308" cy="75184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6441D25C" w14:textId="77777777" w:rsidR="00E20996" w:rsidRDefault="00E20996" w:rsidP="00754BB0">
                              <w:pPr>
                                <w:ind w:left="-113"/>
                              </w:pPr>
                              <w:r>
                                <w:rPr>
                                  <w:noProof/>
                                </w:rPr>
                                <w:drawing>
                                  <wp:inline distT="0" distB="0" distL="0" distR="0" wp14:anchorId="682378B0" wp14:editId="33D9E389">
                                    <wp:extent cx="1290939" cy="7033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E5674" id="_x0000_t202" coordsize="21600,21600" o:spt="202" path="m,l,21600r21600,l21600,xe">
                  <v:stroke joinstyle="miter"/>
                  <v:path gradientshapeok="t" o:connecttype="rect"/>
                </v:shapetype>
                <v:shape id="Text Box 45" o:spid="_x0000_s1032" type="#_x0000_t202" style="position:absolute;margin-left:411.8pt;margin-top:-9.2pt;width:105.05pt;height:59.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RGGQIAADM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" filled="f" stroked="f" strokeweight=".5pt">
                  <v:textbox>
                    <w:txbxContent>
                      <w:p w14:paraId="6441D25C" w14:textId="77777777" w:rsidR="00E20996" w:rsidRDefault="00E20996" w:rsidP="00754BB0">
                        <w:pPr>
                          <w:ind w:left="-113"/>
                        </w:pPr>
                        <w:r>
                          <w:rPr>
                            <w:noProof/>
                          </w:rPr>
                          <w:drawing>
                            <wp:inline distT="0" distB="0" distL="0" distR="0" wp14:anchorId="682378B0" wp14:editId="33D9E389">
                              <wp:extent cx="1290939" cy="7033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szCs w:val="16"/>
          </w:rPr>
          <w:t>Notice</w:t>
        </w:r>
        <w:r w:rsidRPr="002D4A6C">
          <w:rPr>
            <w:szCs w:val="16"/>
          </w:rPr>
          <w:t xml:space="preserve"> ID: </w:t>
        </w:r>
        <w:sdt>
          <w:sdtPr>
            <w:rPr>
              <w:szCs w:val="16"/>
            </w:rPr>
            <w:alias w:val="Notice ID"/>
            <w:tag w:val="epa_name"/>
            <w:id w:val="1217938035"/>
            <w:text/>
          </w:sdtPr>
          <w:sdtEndPr/>
          <w:sdtContent>
            <w:r w:rsidRPr="002D4A6C">
              <w:rPr>
                <w:szCs w:val="16"/>
              </w:rPr>
              <w:t>[Notice ID]</w:t>
            </w:r>
          </w:sdtContent>
        </w:sdt>
      </w:p>
      <w:p w14:paraId="1290C274" w14:textId="77777777" w:rsidR="00E20996" w:rsidRPr="00FF6807" w:rsidRDefault="00E20996" w:rsidP="00754BB0">
        <w:pPr>
          <w:pStyle w:val="Footertext"/>
          <w:rPr>
            <w:b/>
            <w:bCs/>
            <w:color w:val="auto"/>
            <w:sz w:val="22"/>
            <w:lang w:eastAsia="en-AU"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5680A26C" w14:textId="77777777" w:rsidR="00E20996" w:rsidRPr="00C6258A" w:rsidRDefault="00E20996" w:rsidP="00754BB0">
    <w:pPr>
      <w:pStyle w:val="Footer"/>
    </w:pPr>
    <w:r>
      <w:rPr>
        <w:noProof/>
        <w:szCs w:val="16"/>
      </w:rPr>
      <mc:AlternateContent>
        <mc:Choice Requires="wps">
          <w:drawing>
            <wp:anchor distT="0" distB="0" distL="114300" distR="114300" simplePos="0" relativeHeight="251658248" behindDoc="0" locked="0" layoutInCell="1" allowOverlap="1" wp14:anchorId="17A5F700" wp14:editId="55016A21">
              <wp:simplePos x="0" y="0"/>
              <wp:positionH relativeFrom="column">
                <wp:posOffset>-20320</wp:posOffset>
              </wp:positionH>
              <wp:positionV relativeFrom="paragraph">
                <wp:posOffset>228658</wp:posOffset>
              </wp:positionV>
              <wp:extent cx="6492875" cy="0"/>
              <wp:effectExtent l="0" t="0" r="9525" b="12700"/>
              <wp:wrapNone/>
              <wp:docPr id="47" name="Straight Connector 47"/>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2A3C5" id="Straight Connector 47"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" strokecolor="#00b4e1" strokeweight="1pt">
              <v:stroke joinstyle="miter"/>
            </v:line>
          </w:pict>
        </mc:Fallback>
      </mc:AlternateContent>
    </w:r>
  </w:p>
  <w:p w14:paraId="1FE3F19D" w14:textId="77777777" w:rsidR="00E20996" w:rsidRPr="00754BB0" w:rsidRDefault="00E20996" w:rsidP="00754BB0">
    <w:pPr>
      <w:pStyle w:val="Footer"/>
      <w:rPr>
        <w:lang w:bidi="he-IL"/>
      </w:rPr>
    </w:pPr>
  </w:p>
  <w:p w14:paraId="06B8C87D" w14:textId="77777777" w:rsidR="00E20996" w:rsidRDefault="00E209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6E31C" w14:textId="77777777" w:rsidR="002A4B07" w:rsidRDefault="002A4B07" w:rsidP="00284CBB">
      <w:pPr>
        <w:spacing w:after="0"/>
      </w:pPr>
      <w:r>
        <w:separator/>
      </w:r>
    </w:p>
    <w:p w14:paraId="4063AC39" w14:textId="77777777" w:rsidR="002A4B07" w:rsidRDefault="002A4B07"/>
    <w:p w14:paraId="4AD2D4B5" w14:textId="77777777" w:rsidR="002A4B07" w:rsidRDefault="002A4B07"/>
    <w:p w14:paraId="153700F8" w14:textId="77777777" w:rsidR="002A4B07" w:rsidRDefault="002A4B07"/>
    <w:p w14:paraId="7A2CDC11" w14:textId="77777777" w:rsidR="002A4B07" w:rsidRDefault="002A4B07"/>
  </w:footnote>
  <w:footnote w:type="continuationSeparator" w:id="0">
    <w:p w14:paraId="6F1108D7" w14:textId="77777777" w:rsidR="002A4B07" w:rsidRDefault="002A4B07" w:rsidP="00284CBB">
      <w:pPr>
        <w:spacing w:after="0"/>
      </w:pPr>
      <w:r>
        <w:continuationSeparator/>
      </w:r>
    </w:p>
    <w:p w14:paraId="7B8D1B22" w14:textId="77777777" w:rsidR="002A4B07" w:rsidRDefault="002A4B07"/>
    <w:p w14:paraId="6F56F171" w14:textId="77777777" w:rsidR="002A4B07" w:rsidRDefault="002A4B07"/>
    <w:p w14:paraId="75797342" w14:textId="77777777" w:rsidR="002A4B07" w:rsidRDefault="002A4B07"/>
    <w:p w14:paraId="4F47AAE1" w14:textId="77777777" w:rsidR="002A4B07" w:rsidRDefault="002A4B07"/>
  </w:footnote>
  <w:footnote w:type="continuationNotice" w:id="1">
    <w:p w14:paraId="62B6224C" w14:textId="77777777" w:rsidR="002A4B07" w:rsidRDefault="002A4B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A544" w14:textId="5E6FC627" w:rsidR="00D5480E" w:rsidRDefault="00D5480E">
    <w:pPr>
      <w:pStyle w:val="Header"/>
    </w:pPr>
    <w:r>
      <w:rPr>
        <w:noProof/>
      </w:rPr>
      <mc:AlternateContent>
        <mc:Choice Requires="wps">
          <w:drawing>
            <wp:anchor distT="0" distB="0" distL="0" distR="0" simplePos="0" relativeHeight="251658241" behindDoc="0" locked="0" layoutInCell="1" allowOverlap="1" wp14:anchorId="0111B8E3" wp14:editId="33A090D9">
              <wp:simplePos x="635" y="635"/>
              <wp:positionH relativeFrom="column">
                <wp:align>center</wp:align>
              </wp:positionH>
              <wp:positionV relativeFrom="paragraph">
                <wp:posOffset>635</wp:posOffset>
              </wp:positionV>
              <wp:extent cx="443865" cy="443865"/>
              <wp:effectExtent l="0" t="0" r="10160" b="10160"/>
              <wp:wrapSquare wrapText="bothSides"/>
              <wp:docPr id="22" name="Text Box 2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24FA75" w14:textId="62A948FC"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11B8E3" id="_x0000_t202" coordsize="21600,21600" o:spt="202" path="m,l,21600r21600,l21600,xe">
              <v:stroke joinstyle="miter"/>
              <v:path gradientshapeok="t" o:connecttype="rect"/>
            </v:shapetype>
            <v:shape id="Text Box 22" o:spid="_x0000_s1027" type="#_x0000_t202" alt="OFFICIAL "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124FA75" w14:textId="62A948FC"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91B2" w14:textId="4A756C3A" w:rsidR="00D5480E" w:rsidRDefault="00D5480E">
    <w:pPr>
      <w:pStyle w:val="Header"/>
    </w:pPr>
    <w:r>
      <w:rPr>
        <w:noProof/>
      </w:rPr>
      <mc:AlternateContent>
        <mc:Choice Requires="wps">
          <w:drawing>
            <wp:anchor distT="0" distB="0" distL="0" distR="0" simplePos="0" relativeHeight="251658242" behindDoc="0" locked="0" layoutInCell="1" allowOverlap="1" wp14:anchorId="4ED22385" wp14:editId="15C5B920">
              <wp:simplePos x="0" y="0"/>
              <wp:positionH relativeFrom="column">
                <wp:align>center</wp:align>
              </wp:positionH>
              <wp:positionV relativeFrom="paragraph">
                <wp:posOffset>3922</wp:posOffset>
              </wp:positionV>
              <wp:extent cx="443865" cy="443865"/>
              <wp:effectExtent l="0" t="0" r="10160" b="10160"/>
              <wp:wrapSquare wrapText="bothSides"/>
              <wp:docPr id="23" name="Text Box 2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07726D" w14:textId="45BDAA38"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D22385" id="_x0000_t202" coordsize="21600,21600" o:spt="202" path="m,l,21600r21600,l21600,xe">
              <v:stroke joinstyle="miter"/>
              <v:path gradientshapeok="t" o:connecttype="rect"/>
            </v:shapetype>
            <v:shape id="Text Box 23" o:spid="_x0000_s1028" type="#_x0000_t202" alt="OFFICIAL " style="position:absolute;margin-left:0;margin-top:.3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" filled="f" stroked="f">
              <v:textbox style="mso-fit-shape-to-text:t" inset="0,0,0,0">
                <w:txbxContent>
                  <w:p w14:paraId="7107726D" w14:textId="45BDAA38"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5489" w14:textId="45BC16AA" w:rsidR="00D5480E" w:rsidRDefault="00D5480E">
    <w:pPr>
      <w:pStyle w:val="Header"/>
    </w:pPr>
    <w:r>
      <w:rPr>
        <w:noProof/>
      </w:rPr>
      <mc:AlternateContent>
        <mc:Choice Requires="wps">
          <w:drawing>
            <wp:anchor distT="0" distB="0" distL="0" distR="0" simplePos="0" relativeHeight="251658240" behindDoc="0" locked="0" layoutInCell="1" allowOverlap="1" wp14:anchorId="5BBE41EF" wp14:editId="79601505">
              <wp:simplePos x="635" y="635"/>
              <wp:positionH relativeFrom="column">
                <wp:align>center</wp:align>
              </wp:positionH>
              <wp:positionV relativeFrom="paragraph">
                <wp:posOffset>635</wp:posOffset>
              </wp:positionV>
              <wp:extent cx="443865" cy="443865"/>
              <wp:effectExtent l="0" t="0" r="4445" b="635"/>
              <wp:wrapSquare wrapText="bothSides"/>
              <wp:docPr id="21" name="Text Box 2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2B1FDB" w14:textId="0C71E137"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p w14:paraId="7413ECA2" w14:textId="3A6E9D2E" w:rsidR="00284CBB" w:rsidRPr="00D5480E" w:rsidRDefault="00284CBB">
                          <w:pPr>
                            <w:rPr>
                              <w:rFonts w:ascii="Calibri" w:eastAsia="Calibri" w:hAnsi="Calibri" w:cs="Calibri"/>
                              <w:noProof/>
                              <w:color w:val="000000"/>
                            </w:rPr>
                          </w:pPr>
                        </w:p>
                        <w:p w14:paraId="15C7471E" w14:textId="3B69F9FD"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135C031D" w14:textId="77777777" w:rsidR="00284CBB" w:rsidRPr="00D5480E" w:rsidRDefault="00284CBB">
                          <w:pPr>
                            <w:rPr>
                              <w:rFonts w:ascii="Calibri" w:eastAsia="Calibri" w:hAnsi="Calibri" w:cs="Calibri"/>
                              <w:noProof/>
                              <w:color w:val="000000"/>
                            </w:rPr>
                          </w:pPr>
                        </w:p>
                        <w:p w14:paraId="4BF01C31" w14:textId="77777777" w:rsidR="00284CBB" w:rsidRPr="00D5480E" w:rsidRDefault="00284CBB">
                          <w:pPr>
                            <w:rPr>
                              <w:rFonts w:ascii="Calibri" w:eastAsia="Calibri" w:hAnsi="Calibri" w:cs="Calibri"/>
                              <w:noProof/>
                              <w:color w:val="000000"/>
                            </w:rPr>
                          </w:pPr>
                        </w:p>
                        <w:p w14:paraId="123FC4C8" w14:textId="55766788"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336CF21E" w14:textId="77777777" w:rsidR="00284CBB" w:rsidRPr="00D5480E" w:rsidRDefault="00284CBB">
                          <w:pPr>
                            <w:rPr>
                              <w:rFonts w:ascii="Calibri" w:eastAsia="Calibri" w:hAnsi="Calibri" w:cs="Calibri"/>
                              <w:noProof/>
                              <w:color w:val="000000"/>
                            </w:rPr>
                          </w:pPr>
                        </w:p>
                        <w:p w14:paraId="1900108F" w14:textId="75912AFB" w:rsidR="00284CBB" w:rsidRPr="00D5480E" w:rsidRDefault="00284CBB">
                          <w:pPr>
                            <w:rPr>
                              <w:rFonts w:ascii="Calibri" w:eastAsia="Calibri" w:hAnsi="Calibri" w:cs="Calibri"/>
                              <w:noProof/>
                              <w:color w:val="00000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BE41EF" id="_x0000_t202" coordsize="21600,21600" o:spt="202" path="m,l,21600r21600,l21600,xe">
              <v:stroke joinstyle="miter"/>
              <v:path gradientshapeok="t" o:connecttype="rect"/>
            </v:shapetype>
            <v:shape id="Text Box 21" o:spid="_x0000_s1030" type="#_x0000_t202" alt="OFFICIAL "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72B1FDB" w14:textId="0C71E137"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p w14:paraId="7413ECA2" w14:textId="3A6E9D2E" w:rsidR="00284CBB" w:rsidRPr="00D5480E" w:rsidRDefault="00284CBB">
                    <w:pPr>
                      <w:rPr>
                        <w:rFonts w:ascii="Calibri" w:eastAsia="Calibri" w:hAnsi="Calibri" w:cs="Calibri"/>
                        <w:noProof/>
                        <w:color w:val="000000"/>
                      </w:rPr>
                    </w:pPr>
                  </w:p>
                  <w:p w14:paraId="15C7471E" w14:textId="3B69F9FD"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135C031D" w14:textId="77777777" w:rsidR="00284CBB" w:rsidRPr="00D5480E" w:rsidRDefault="00284CBB">
                    <w:pPr>
                      <w:rPr>
                        <w:rFonts w:ascii="Calibri" w:eastAsia="Calibri" w:hAnsi="Calibri" w:cs="Calibri"/>
                        <w:noProof/>
                        <w:color w:val="000000"/>
                      </w:rPr>
                    </w:pPr>
                  </w:p>
                  <w:p w14:paraId="4BF01C31" w14:textId="77777777" w:rsidR="00284CBB" w:rsidRPr="00D5480E" w:rsidRDefault="00284CBB">
                    <w:pPr>
                      <w:rPr>
                        <w:rFonts w:ascii="Calibri" w:eastAsia="Calibri" w:hAnsi="Calibri" w:cs="Calibri"/>
                        <w:noProof/>
                        <w:color w:val="000000"/>
                      </w:rPr>
                    </w:pPr>
                  </w:p>
                  <w:p w14:paraId="123FC4C8" w14:textId="55766788"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336CF21E" w14:textId="77777777" w:rsidR="00284CBB" w:rsidRPr="00D5480E" w:rsidRDefault="00284CBB">
                    <w:pPr>
                      <w:rPr>
                        <w:rFonts w:ascii="Calibri" w:eastAsia="Calibri" w:hAnsi="Calibri" w:cs="Calibri"/>
                        <w:noProof/>
                        <w:color w:val="000000"/>
                      </w:rPr>
                    </w:pPr>
                  </w:p>
                  <w:p w14:paraId="1900108F" w14:textId="75912AFB" w:rsidR="00284CBB" w:rsidRPr="00D5480E" w:rsidRDefault="00284CBB">
                    <w:pPr>
                      <w:rPr>
                        <w:rFonts w:ascii="Calibri" w:eastAsia="Calibri" w:hAnsi="Calibri" w:cs="Calibri"/>
                        <w:noProof/>
                        <w:color w:val="000000"/>
                      </w:rPr>
                    </w:pP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0C8B" w14:textId="77777777" w:rsidR="00E20996" w:rsidRDefault="00E20996">
    <w:pPr>
      <w:pStyle w:val="Header"/>
    </w:pPr>
    <w:r>
      <w:rPr>
        <w:noProof/>
      </w:rPr>
      <mc:AlternateContent>
        <mc:Choice Requires="wps">
          <w:drawing>
            <wp:anchor distT="0" distB="0" distL="0" distR="0" simplePos="0" relativeHeight="251658246" behindDoc="0" locked="0" layoutInCell="1" allowOverlap="1" wp14:anchorId="4585952F" wp14:editId="30B916D9">
              <wp:simplePos x="635" y="635"/>
              <wp:positionH relativeFrom="column">
                <wp:align>center</wp:align>
              </wp:positionH>
              <wp:positionV relativeFrom="paragraph">
                <wp:posOffset>635</wp:posOffset>
              </wp:positionV>
              <wp:extent cx="443865" cy="443865"/>
              <wp:effectExtent l="0" t="0" r="10160" b="10160"/>
              <wp:wrapSquare wrapText="bothSides"/>
              <wp:docPr id="39" name="Text Box 3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92E168"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85952F" id="_x0000_t202" coordsize="21600,21600" o:spt="202" path="m,l,21600r21600,l21600,xe">
              <v:stroke joinstyle="miter"/>
              <v:path gradientshapeok="t" o:connecttype="rect"/>
            </v:shapetype>
            <v:shape id="Text Box 39" o:spid="_x0000_s1031" type="#_x0000_t202" alt="OFFICIAL "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7E92E168"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v:textbox>
              <w10:wrap type="square"/>
            </v:shape>
          </w:pict>
        </mc:Fallback>
      </mc:AlternateContent>
    </w:r>
  </w:p>
  <w:p w14:paraId="7FD7059C" w14:textId="77777777" w:rsidR="00E20996" w:rsidRDefault="00E2099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4A50" w14:textId="77777777" w:rsidR="00E20996" w:rsidRDefault="00E20996">
    <w:pPr>
      <w:pStyle w:val="Header"/>
    </w:pPr>
    <w:r>
      <w:rPr>
        <w:noProof/>
      </w:rPr>
      <mc:AlternateContent>
        <mc:Choice Requires="wps">
          <w:drawing>
            <wp:anchor distT="0" distB="0" distL="0" distR="0" simplePos="0" relativeHeight="251658245" behindDoc="0" locked="0" layoutInCell="1" allowOverlap="1" wp14:anchorId="3251577F" wp14:editId="75965F00">
              <wp:simplePos x="635" y="635"/>
              <wp:positionH relativeFrom="column">
                <wp:align>center</wp:align>
              </wp:positionH>
              <wp:positionV relativeFrom="paragraph">
                <wp:posOffset>635</wp:posOffset>
              </wp:positionV>
              <wp:extent cx="443865" cy="443865"/>
              <wp:effectExtent l="0" t="0" r="10160" b="10160"/>
              <wp:wrapSquare wrapText="bothSides"/>
              <wp:docPr id="40" name="Text Box 4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FAD250"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251577F" id="_x0000_t202" coordsize="21600,21600" o:spt="202" path="m,l,21600r21600,l21600,xe">
              <v:stroke joinstyle="miter"/>
              <v:path gradientshapeok="t" o:connecttype="rect"/>
            </v:shapetype>
            <v:shape id="Text Box 40" o:spid="_x0000_s1033" type="#_x0000_t202" alt="OFFICIAL "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48FAD250"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224B"/>
    <w:multiLevelType w:val="hybridMultilevel"/>
    <w:tmpl w:val="A06604F8"/>
    <w:lvl w:ilvl="0" w:tplc="1D54A5E8">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1" w:tplc="69289880">
      <w:numFmt w:val="bullet"/>
      <w:lvlText w:val="•"/>
      <w:lvlJc w:val="left"/>
      <w:pPr>
        <w:ind w:left="1847" w:hanging="360"/>
      </w:pPr>
      <w:rPr>
        <w:rFonts w:hint="default"/>
        <w:lang w:val="en-US" w:eastAsia="en-US" w:bidi="ar-SA"/>
      </w:rPr>
    </w:lvl>
    <w:lvl w:ilvl="2" w:tplc="CE761D4E">
      <w:numFmt w:val="bullet"/>
      <w:lvlText w:val="•"/>
      <w:lvlJc w:val="left"/>
      <w:pPr>
        <w:ind w:left="2835" w:hanging="360"/>
      </w:pPr>
      <w:rPr>
        <w:rFonts w:hint="default"/>
        <w:lang w:val="en-US" w:eastAsia="en-US" w:bidi="ar-SA"/>
      </w:rPr>
    </w:lvl>
    <w:lvl w:ilvl="3" w:tplc="C3B6B244">
      <w:numFmt w:val="bullet"/>
      <w:lvlText w:val="•"/>
      <w:lvlJc w:val="left"/>
      <w:pPr>
        <w:ind w:left="3823" w:hanging="360"/>
      </w:pPr>
      <w:rPr>
        <w:rFonts w:hint="default"/>
        <w:lang w:val="en-US" w:eastAsia="en-US" w:bidi="ar-SA"/>
      </w:rPr>
    </w:lvl>
    <w:lvl w:ilvl="4" w:tplc="56DCB51E">
      <w:numFmt w:val="bullet"/>
      <w:lvlText w:val="•"/>
      <w:lvlJc w:val="left"/>
      <w:pPr>
        <w:ind w:left="4811" w:hanging="360"/>
      </w:pPr>
      <w:rPr>
        <w:rFonts w:hint="default"/>
        <w:lang w:val="en-US" w:eastAsia="en-US" w:bidi="ar-SA"/>
      </w:rPr>
    </w:lvl>
    <w:lvl w:ilvl="5" w:tplc="E6A62DD8">
      <w:numFmt w:val="bullet"/>
      <w:lvlText w:val="•"/>
      <w:lvlJc w:val="left"/>
      <w:pPr>
        <w:ind w:left="5799" w:hanging="360"/>
      </w:pPr>
      <w:rPr>
        <w:rFonts w:hint="default"/>
        <w:lang w:val="en-US" w:eastAsia="en-US" w:bidi="ar-SA"/>
      </w:rPr>
    </w:lvl>
    <w:lvl w:ilvl="6" w:tplc="1F06925A">
      <w:numFmt w:val="bullet"/>
      <w:lvlText w:val="•"/>
      <w:lvlJc w:val="left"/>
      <w:pPr>
        <w:ind w:left="6787" w:hanging="360"/>
      </w:pPr>
      <w:rPr>
        <w:rFonts w:hint="default"/>
        <w:lang w:val="en-US" w:eastAsia="en-US" w:bidi="ar-SA"/>
      </w:rPr>
    </w:lvl>
    <w:lvl w:ilvl="7" w:tplc="02E20DDC">
      <w:numFmt w:val="bullet"/>
      <w:lvlText w:val="•"/>
      <w:lvlJc w:val="left"/>
      <w:pPr>
        <w:ind w:left="7775" w:hanging="360"/>
      </w:pPr>
      <w:rPr>
        <w:rFonts w:hint="default"/>
        <w:lang w:val="en-US" w:eastAsia="en-US" w:bidi="ar-SA"/>
      </w:rPr>
    </w:lvl>
    <w:lvl w:ilvl="8" w:tplc="35CC470A">
      <w:numFmt w:val="bullet"/>
      <w:lvlText w:val="•"/>
      <w:lvlJc w:val="left"/>
      <w:pPr>
        <w:ind w:left="8763" w:hanging="360"/>
      </w:pPr>
      <w:rPr>
        <w:rFonts w:hint="default"/>
        <w:lang w:val="en-US" w:eastAsia="en-US" w:bidi="ar-SA"/>
      </w:rPr>
    </w:lvl>
  </w:abstractNum>
  <w:abstractNum w:abstractNumId="1" w15:restartNumberingAfterBreak="0">
    <w:nsid w:val="057D4DE3"/>
    <w:multiLevelType w:val="multilevel"/>
    <w:tmpl w:val="99F82602"/>
    <w:lvl w:ilvl="0">
      <w:start w:val="1"/>
      <w:numFmt w:val="decimal"/>
      <w:lvlText w:val="%1"/>
      <w:lvlJc w:val="left"/>
      <w:pPr>
        <w:ind w:left="885" w:hanging="525"/>
      </w:pPr>
      <w:rPr>
        <w:rFonts w:hint="default"/>
      </w:rPr>
    </w:lvl>
    <w:lvl w:ilvl="1">
      <w:start w:val="8"/>
      <w:numFmt w:val="decimal"/>
      <w:lvlText w:val="%1.%2"/>
      <w:lvlJc w:val="left"/>
      <w:pPr>
        <w:ind w:left="162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5940" w:hanging="1800"/>
      </w:pPr>
      <w:rPr>
        <w:rFonts w:hint="default"/>
      </w:rPr>
    </w:lvl>
    <w:lvl w:ilvl="8">
      <w:start w:val="1"/>
      <w:numFmt w:val="decimal"/>
      <w:lvlText w:val="%1.%2.%3.%4.%5.%6.%7.%8.%9"/>
      <w:lvlJc w:val="left"/>
      <w:pPr>
        <w:ind w:left="6840" w:hanging="2160"/>
      </w:pPr>
      <w:rPr>
        <w:rFonts w:hint="default"/>
      </w:rPr>
    </w:lvl>
  </w:abstractNum>
  <w:abstractNum w:abstractNumId="2" w15:restartNumberingAfterBreak="0">
    <w:nsid w:val="137811E0"/>
    <w:multiLevelType w:val="multilevel"/>
    <w:tmpl w:val="E6E8F2C8"/>
    <w:lvl w:ilvl="0">
      <w:start w:val="1"/>
      <w:numFmt w:val="decimal"/>
      <w:lvlText w:val="%1"/>
      <w:lvlJc w:val="left"/>
      <w:pPr>
        <w:ind w:left="360" w:hanging="360"/>
      </w:pPr>
      <w:rPr>
        <w:rFonts w:hint="default"/>
        <w:sz w:val="26"/>
      </w:rPr>
    </w:lvl>
    <w:lvl w:ilvl="1">
      <w:start w:val="1"/>
      <w:numFmt w:val="decimal"/>
      <w:lvlText w:val="%1.%2"/>
      <w:lvlJc w:val="left"/>
      <w:pPr>
        <w:ind w:left="1440" w:hanging="72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3240" w:hanging="108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5040" w:hanging="144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840" w:hanging="1800"/>
      </w:pPr>
      <w:rPr>
        <w:rFonts w:hint="default"/>
        <w:sz w:val="26"/>
      </w:rPr>
    </w:lvl>
    <w:lvl w:ilvl="8">
      <w:start w:val="1"/>
      <w:numFmt w:val="decimal"/>
      <w:lvlText w:val="%1.%2.%3.%4.%5.%6.%7.%8.%9"/>
      <w:lvlJc w:val="left"/>
      <w:pPr>
        <w:ind w:left="7920" w:hanging="2160"/>
      </w:pPr>
      <w:rPr>
        <w:rFonts w:hint="default"/>
        <w:sz w:val="26"/>
      </w:rPr>
    </w:lvl>
  </w:abstractNum>
  <w:abstractNum w:abstractNumId="3" w15:restartNumberingAfterBreak="0">
    <w:nsid w:val="193D7AED"/>
    <w:multiLevelType w:val="multilevel"/>
    <w:tmpl w:val="CEAE89FE"/>
    <w:lvl w:ilvl="0">
      <w:start w:val="1"/>
      <w:numFmt w:val="decimal"/>
      <w:lvlText w:val="%1"/>
      <w:lvlJc w:val="left"/>
      <w:pPr>
        <w:ind w:left="578" w:hanging="432"/>
      </w:pPr>
      <w:rPr>
        <w:rFonts w:ascii="VIC-Medium" w:eastAsia="VIC-Medium" w:hAnsi="VIC-Medium" w:cs="VIC-Medium" w:hint="default"/>
        <w:b w:val="0"/>
        <w:bCs w:val="0"/>
        <w:i w:val="0"/>
        <w:iCs w:val="0"/>
        <w:color w:val="003E71"/>
        <w:w w:val="99"/>
        <w:sz w:val="28"/>
        <w:szCs w:val="28"/>
        <w:lang w:val="en-US" w:eastAsia="en-US" w:bidi="ar-SA"/>
      </w:rPr>
    </w:lvl>
    <w:lvl w:ilvl="1">
      <w:start w:val="1"/>
      <w:numFmt w:val="decimal"/>
      <w:lvlText w:val="%1.%2"/>
      <w:lvlJc w:val="left"/>
      <w:pPr>
        <w:ind w:left="722" w:hanging="576"/>
      </w:pPr>
      <w:rPr>
        <w:rFonts w:ascii="VIC-Medium" w:eastAsia="VIC-Medium" w:hAnsi="VIC-Medium" w:cs="VIC-Medium" w:hint="default"/>
        <w:b w:val="0"/>
        <w:bCs w:val="0"/>
        <w:i w:val="0"/>
        <w:iCs w:val="0"/>
        <w:color w:val="003E71"/>
        <w:spacing w:val="-1"/>
        <w:w w:val="100"/>
        <w:sz w:val="22"/>
        <w:szCs w:val="22"/>
        <w:lang w:val="en-US" w:eastAsia="en-US" w:bidi="ar-SA"/>
      </w:rPr>
    </w:lvl>
    <w:lvl w:ilvl="2">
      <w:start w:val="1"/>
      <w:numFmt w:val="decimal"/>
      <w:lvlText w:val="%1.%2.%3"/>
      <w:lvlJc w:val="left"/>
      <w:pPr>
        <w:ind w:left="866" w:hanging="720"/>
      </w:pPr>
      <w:rPr>
        <w:rFonts w:ascii="VIC-Medium" w:eastAsia="VIC-Medium" w:hAnsi="VIC-Medium" w:cs="VIC-Medium" w:hint="default"/>
        <w:b w:val="0"/>
        <w:bCs w:val="0"/>
        <w:i w:val="0"/>
        <w:iCs w:val="0"/>
        <w:color w:val="003E71"/>
        <w:spacing w:val="-1"/>
        <w:w w:val="100"/>
        <w:sz w:val="22"/>
        <w:szCs w:val="22"/>
        <w:lang w:val="en-US" w:eastAsia="en-US" w:bidi="ar-SA"/>
      </w:rPr>
    </w:lvl>
    <w:lvl w:ilvl="3">
      <w:numFmt w:val="bullet"/>
      <w:lvlText w:val="•"/>
      <w:lvlJc w:val="left"/>
      <w:pPr>
        <w:ind w:left="866" w:hanging="356"/>
      </w:pPr>
      <w:rPr>
        <w:rFonts w:ascii="Arial" w:eastAsia="Arial" w:hAnsi="Arial" w:cs="Arial" w:hint="default"/>
        <w:b w:val="0"/>
        <w:bCs w:val="0"/>
        <w:i w:val="0"/>
        <w:iCs w:val="0"/>
        <w:w w:val="131"/>
        <w:sz w:val="22"/>
        <w:szCs w:val="22"/>
        <w:lang w:val="en-US" w:eastAsia="en-US" w:bidi="ar-SA"/>
      </w:rPr>
    </w:lvl>
    <w:lvl w:ilvl="4">
      <w:numFmt w:val="bullet"/>
      <w:lvlText w:val="o"/>
      <w:lvlJc w:val="left"/>
      <w:pPr>
        <w:ind w:left="1587" w:hanging="356"/>
      </w:pPr>
      <w:rPr>
        <w:rFonts w:ascii="Courier New" w:eastAsia="Courier New" w:hAnsi="Courier New" w:cs="Courier New" w:hint="default"/>
        <w:b w:val="0"/>
        <w:bCs w:val="0"/>
        <w:i w:val="0"/>
        <w:iCs w:val="0"/>
        <w:w w:val="100"/>
        <w:sz w:val="22"/>
        <w:szCs w:val="22"/>
        <w:lang w:val="en-US" w:eastAsia="en-US" w:bidi="ar-SA"/>
      </w:rPr>
    </w:lvl>
    <w:lvl w:ilvl="5">
      <w:numFmt w:val="bullet"/>
      <w:lvlText w:val="•"/>
      <w:lvlJc w:val="left"/>
      <w:pPr>
        <w:ind w:left="3106" w:hanging="356"/>
      </w:pPr>
      <w:rPr>
        <w:rFonts w:hint="default"/>
        <w:lang w:val="en-US" w:eastAsia="en-US" w:bidi="ar-SA"/>
      </w:rPr>
    </w:lvl>
    <w:lvl w:ilvl="6">
      <w:numFmt w:val="bullet"/>
      <w:lvlText w:val="•"/>
      <w:lvlJc w:val="left"/>
      <w:pPr>
        <w:ind w:left="4633" w:hanging="356"/>
      </w:pPr>
      <w:rPr>
        <w:rFonts w:hint="default"/>
        <w:lang w:val="en-US" w:eastAsia="en-US" w:bidi="ar-SA"/>
      </w:rPr>
    </w:lvl>
    <w:lvl w:ilvl="7">
      <w:numFmt w:val="bullet"/>
      <w:lvlText w:val="•"/>
      <w:lvlJc w:val="left"/>
      <w:pPr>
        <w:ind w:left="6159" w:hanging="356"/>
      </w:pPr>
      <w:rPr>
        <w:rFonts w:hint="default"/>
        <w:lang w:val="en-US" w:eastAsia="en-US" w:bidi="ar-SA"/>
      </w:rPr>
    </w:lvl>
    <w:lvl w:ilvl="8">
      <w:numFmt w:val="bullet"/>
      <w:lvlText w:val="•"/>
      <w:lvlJc w:val="left"/>
      <w:pPr>
        <w:ind w:left="7686" w:hanging="356"/>
      </w:pPr>
      <w:rPr>
        <w:rFonts w:hint="default"/>
        <w:lang w:val="en-US" w:eastAsia="en-US" w:bidi="ar-SA"/>
      </w:rPr>
    </w:lvl>
  </w:abstractNum>
  <w:abstractNum w:abstractNumId="4" w15:restartNumberingAfterBreak="0">
    <w:nsid w:val="206C7D8D"/>
    <w:multiLevelType w:val="hybridMultilevel"/>
    <w:tmpl w:val="A2CAA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7056DBA"/>
    <w:multiLevelType w:val="hybridMultilevel"/>
    <w:tmpl w:val="971C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157042"/>
    <w:multiLevelType w:val="multilevel"/>
    <w:tmpl w:val="CEAE89FE"/>
    <w:lvl w:ilvl="0">
      <w:start w:val="1"/>
      <w:numFmt w:val="decimal"/>
      <w:lvlText w:val="%1"/>
      <w:lvlJc w:val="left"/>
      <w:pPr>
        <w:ind w:left="578" w:hanging="432"/>
      </w:pPr>
      <w:rPr>
        <w:rFonts w:ascii="VIC-Medium" w:eastAsia="VIC-Medium" w:hAnsi="VIC-Medium" w:cs="VIC-Medium" w:hint="default"/>
        <w:b w:val="0"/>
        <w:bCs w:val="0"/>
        <w:i w:val="0"/>
        <w:iCs w:val="0"/>
        <w:color w:val="003E71"/>
        <w:w w:val="99"/>
        <w:sz w:val="28"/>
        <w:szCs w:val="28"/>
        <w:lang w:val="en-US" w:eastAsia="en-US" w:bidi="ar-SA"/>
      </w:rPr>
    </w:lvl>
    <w:lvl w:ilvl="1">
      <w:start w:val="1"/>
      <w:numFmt w:val="decimal"/>
      <w:lvlText w:val="%1.%2"/>
      <w:lvlJc w:val="left"/>
      <w:pPr>
        <w:ind w:left="722" w:hanging="576"/>
      </w:pPr>
      <w:rPr>
        <w:rFonts w:ascii="VIC-Medium" w:eastAsia="VIC-Medium" w:hAnsi="VIC-Medium" w:cs="VIC-Medium" w:hint="default"/>
        <w:b w:val="0"/>
        <w:bCs w:val="0"/>
        <w:i w:val="0"/>
        <w:iCs w:val="0"/>
        <w:color w:val="003E71"/>
        <w:spacing w:val="-1"/>
        <w:w w:val="100"/>
        <w:sz w:val="22"/>
        <w:szCs w:val="22"/>
        <w:lang w:val="en-US" w:eastAsia="en-US" w:bidi="ar-SA"/>
      </w:rPr>
    </w:lvl>
    <w:lvl w:ilvl="2">
      <w:start w:val="1"/>
      <w:numFmt w:val="decimal"/>
      <w:lvlText w:val="%1.%2.%3"/>
      <w:lvlJc w:val="left"/>
      <w:pPr>
        <w:ind w:left="866" w:hanging="720"/>
      </w:pPr>
      <w:rPr>
        <w:rFonts w:ascii="VIC-Medium" w:eastAsia="VIC-Medium" w:hAnsi="VIC-Medium" w:cs="VIC-Medium" w:hint="default"/>
        <w:b w:val="0"/>
        <w:bCs w:val="0"/>
        <w:i w:val="0"/>
        <w:iCs w:val="0"/>
        <w:color w:val="003E71"/>
        <w:spacing w:val="-1"/>
        <w:w w:val="100"/>
        <w:sz w:val="22"/>
        <w:szCs w:val="22"/>
        <w:lang w:val="en-US" w:eastAsia="en-US" w:bidi="ar-SA"/>
      </w:rPr>
    </w:lvl>
    <w:lvl w:ilvl="3">
      <w:numFmt w:val="bullet"/>
      <w:lvlText w:val="•"/>
      <w:lvlJc w:val="left"/>
      <w:pPr>
        <w:ind w:left="866" w:hanging="356"/>
      </w:pPr>
      <w:rPr>
        <w:rFonts w:ascii="Arial" w:eastAsia="Arial" w:hAnsi="Arial" w:cs="Arial" w:hint="default"/>
        <w:b w:val="0"/>
        <w:bCs w:val="0"/>
        <w:i w:val="0"/>
        <w:iCs w:val="0"/>
        <w:w w:val="131"/>
        <w:sz w:val="22"/>
        <w:szCs w:val="22"/>
        <w:lang w:val="en-US" w:eastAsia="en-US" w:bidi="ar-SA"/>
      </w:rPr>
    </w:lvl>
    <w:lvl w:ilvl="4">
      <w:numFmt w:val="bullet"/>
      <w:lvlText w:val="o"/>
      <w:lvlJc w:val="left"/>
      <w:pPr>
        <w:ind w:left="1587" w:hanging="356"/>
      </w:pPr>
      <w:rPr>
        <w:rFonts w:ascii="Courier New" w:eastAsia="Courier New" w:hAnsi="Courier New" w:cs="Courier New" w:hint="default"/>
        <w:b w:val="0"/>
        <w:bCs w:val="0"/>
        <w:i w:val="0"/>
        <w:iCs w:val="0"/>
        <w:w w:val="100"/>
        <w:sz w:val="22"/>
        <w:szCs w:val="22"/>
        <w:lang w:val="en-US" w:eastAsia="en-US" w:bidi="ar-SA"/>
      </w:rPr>
    </w:lvl>
    <w:lvl w:ilvl="5">
      <w:numFmt w:val="bullet"/>
      <w:lvlText w:val="•"/>
      <w:lvlJc w:val="left"/>
      <w:pPr>
        <w:ind w:left="3106" w:hanging="356"/>
      </w:pPr>
      <w:rPr>
        <w:rFonts w:hint="default"/>
        <w:lang w:val="en-US" w:eastAsia="en-US" w:bidi="ar-SA"/>
      </w:rPr>
    </w:lvl>
    <w:lvl w:ilvl="6">
      <w:numFmt w:val="bullet"/>
      <w:lvlText w:val="•"/>
      <w:lvlJc w:val="left"/>
      <w:pPr>
        <w:ind w:left="4633" w:hanging="356"/>
      </w:pPr>
      <w:rPr>
        <w:rFonts w:hint="default"/>
        <w:lang w:val="en-US" w:eastAsia="en-US" w:bidi="ar-SA"/>
      </w:rPr>
    </w:lvl>
    <w:lvl w:ilvl="7">
      <w:numFmt w:val="bullet"/>
      <w:lvlText w:val="•"/>
      <w:lvlJc w:val="left"/>
      <w:pPr>
        <w:ind w:left="6159" w:hanging="356"/>
      </w:pPr>
      <w:rPr>
        <w:rFonts w:hint="default"/>
        <w:lang w:val="en-US" w:eastAsia="en-US" w:bidi="ar-SA"/>
      </w:rPr>
    </w:lvl>
    <w:lvl w:ilvl="8">
      <w:numFmt w:val="bullet"/>
      <w:lvlText w:val="•"/>
      <w:lvlJc w:val="left"/>
      <w:pPr>
        <w:ind w:left="7686" w:hanging="356"/>
      </w:pPr>
      <w:rPr>
        <w:rFonts w:hint="default"/>
        <w:lang w:val="en-US" w:eastAsia="en-US" w:bidi="ar-SA"/>
      </w:rPr>
    </w:lvl>
  </w:abstractNum>
  <w:abstractNum w:abstractNumId="7" w15:restartNumberingAfterBreak="0">
    <w:nsid w:val="3EC96423"/>
    <w:multiLevelType w:val="hybridMultilevel"/>
    <w:tmpl w:val="E230E8A2"/>
    <w:lvl w:ilvl="0" w:tplc="149E37C6">
      <w:start w:val="1"/>
      <w:numFmt w:val="decimal"/>
      <w:lvlText w:val="%1."/>
      <w:lvlJc w:val="left"/>
      <w:pPr>
        <w:ind w:left="866" w:hanging="720"/>
      </w:pPr>
      <w:rPr>
        <w:rFonts w:ascii="VIC" w:eastAsia="VIC" w:hAnsi="VIC" w:cs="VIC" w:hint="default"/>
        <w:b w:val="0"/>
        <w:bCs w:val="0"/>
        <w:i w:val="0"/>
        <w:iCs w:val="0"/>
        <w:spacing w:val="-2"/>
        <w:w w:val="100"/>
        <w:sz w:val="22"/>
        <w:szCs w:val="22"/>
        <w:lang w:val="en-US" w:eastAsia="en-US" w:bidi="ar-SA"/>
      </w:rPr>
    </w:lvl>
    <w:lvl w:ilvl="1" w:tplc="18503A42">
      <w:numFmt w:val="bullet"/>
      <w:lvlText w:val="•"/>
      <w:lvlJc w:val="left"/>
      <w:pPr>
        <w:ind w:left="1847" w:hanging="720"/>
      </w:pPr>
      <w:rPr>
        <w:rFonts w:hint="default"/>
        <w:lang w:val="en-US" w:eastAsia="en-US" w:bidi="ar-SA"/>
      </w:rPr>
    </w:lvl>
    <w:lvl w:ilvl="2" w:tplc="5A922FF8">
      <w:numFmt w:val="bullet"/>
      <w:lvlText w:val="•"/>
      <w:lvlJc w:val="left"/>
      <w:pPr>
        <w:ind w:left="2835" w:hanging="720"/>
      </w:pPr>
      <w:rPr>
        <w:rFonts w:hint="default"/>
        <w:lang w:val="en-US" w:eastAsia="en-US" w:bidi="ar-SA"/>
      </w:rPr>
    </w:lvl>
    <w:lvl w:ilvl="3" w:tplc="88688724">
      <w:numFmt w:val="bullet"/>
      <w:lvlText w:val="•"/>
      <w:lvlJc w:val="left"/>
      <w:pPr>
        <w:ind w:left="3823" w:hanging="720"/>
      </w:pPr>
      <w:rPr>
        <w:rFonts w:hint="default"/>
        <w:lang w:val="en-US" w:eastAsia="en-US" w:bidi="ar-SA"/>
      </w:rPr>
    </w:lvl>
    <w:lvl w:ilvl="4" w:tplc="E2988FE4">
      <w:numFmt w:val="bullet"/>
      <w:lvlText w:val="•"/>
      <w:lvlJc w:val="left"/>
      <w:pPr>
        <w:ind w:left="4811" w:hanging="720"/>
      </w:pPr>
      <w:rPr>
        <w:rFonts w:hint="default"/>
        <w:lang w:val="en-US" w:eastAsia="en-US" w:bidi="ar-SA"/>
      </w:rPr>
    </w:lvl>
    <w:lvl w:ilvl="5" w:tplc="86143F5E">
      <w:numFmt w:val="bullet"/>
      <w:lvlText w:val="•"/>
      <w:lvlJc w:val="left"/>
      <w:pPr>
        <w:ind w:left="5799" w:hanging="720"/>
      </w:pPr>
      <w:rPr>
        <w:rFonts w:hint="default"/>
        <w:lang w:val="en-US" w:eastAsia="en-US" w:bidi="ar-SA"/>
      </w:rPr>
    </w:lvl>
    <w:lvl w:ilvl="6" w:tplc="72B4DE80">
      <w:numFmt w:val="bullet"/>
      <w:lvlText w:val="•"/>
      <w:lvlJc w:val="left"/>
      <w:pPr>
        <w:ind w:left="6787" w:hanging="720"/>
      </w:pPr>
      <w:rPr>
        <w:rFonts w:hint="default"/>
        <w:lang w:val="en-US" w:eastAsia="en-US" w:bidi="ar-SA"/>
      </w:rPr>
    </w:lvl>
    <w:lvl w:ilvl="7" w:tplc="5C72FEDC">
      <w:numFmt w:val="bullet"/>
      <w:lvlText w:val="•"/>
      <w:lvlJc w:val="left"/>
      <w:pPr>
        <w:ind w:left="7775" w:hanging="720"/>
      </w:pPr>
      <w:rPr>
        <w:rFonts w:hint="default"/>
        <w:lang w:val="en-US" w:eastAsia="en-US" w:bidi="ar-SA"/>
      </w:rPr>
    </w:lvl>
    <w:lvl w:ilvl="8" w:tplc="E5A6CF00">
      <w:numFmt w:val="bullet"/>
      <w:lvlText w:val="•"/>
      <w:lvlJc w:val="left"/>
      <w:pPr>
        <w:ind w:left="8763" w:hanging="720"/>
      </w:pPr>
      <w:rPr>
        <w:rFonts w:hint="default"/>
        <w:lang w:val="en-US" w:eastAsia="en-US" w:bidi="ar-SA"/>
      </w:rPr>
    </w:lvl>
  </w:abstractNum>
  <w:abstractNum w:abstractNumId="8" w15:restartNumberingAfterBreak="0">
    <w:nsid w:val="41506542"/>
    <w:multiLevelType w:val="hybridMultilevel"/>
    <w:tmpl w:val="B828454C"/>
    <w:lvl w:ilvl="0" w:tplc="F0D235F8">
      <w:start w:val="1"/>
      <w:numFmt w:val="lowerLetter"/>
      <w:lvlText w:val="(%1)"/>
      <w:lvlJc w:val="left"/>
      <w:pPr>
        <w:ind w:left="866" w:hanging="360"/>
      </w:pPr>
      <w:rPr>
        <w:rFonts w:ascii="VIC" w:eastAsia="VIC" w:hAnsi="VIC" w:cs="VIC" w:hint="default"/>
        <w:b w:val="0"/>
        <w:bCs w:val="0"/>
        <w:i w:val="0"/>
        <w:iCs w:val="0"/>
        <w:spacing w:val="-2"/>
        <w:w w:val="100"/>
        <w:sz w:val="22"/>
        <w:szCs w:val="22"/>
        <w:lang w:val="en-US" w:eastAsia="en-US" w:bidi="ar-SA"/>
      </w:rPr>
    </w:lvl>
    <w:lvl w:ilvl="1" w:tplc="E8FA489C">
      <w:start w:val="1"/>
      <w:numFmt w:val="lowerLetter"/>
      <w:lvlText w:val="(%2)"/>
      <w:lvlJc w:val="left"/>
      <w:pPr>
        <w:ind w:left="1231" w:hanging="365"/>
      </w:pPr>
      <w:rPr>
        <w:rFonts w:ascii="VIC" w:eastAsia="VIC" w:hAnsi="VIC" w:cs="VIC" w:hint="default"/>
        <w:b w:val="0"/>
        <w:bCs w:val="0"/>
        <w:i/>
        <w:iCs/>
        <w:spacing w:val="-3"/>
        <w:w w:val="100"/>
        <w:sz w:val="22"/>
        <w:szCs w:val="22"/>
        <w:lang w:val="en-US" w:eastAsia="en-US" w:bidi="ar-SA"/>
      </w:rPr>
    </w:lvl>
    <w:lvl w:ilvl="2" w:tplc="D4A8AAF8">
      <w:numFmt w:val="bullet"/>
      <w:lvlText w:val="•"/>
      <w:lvlJc w:val="left"/>
      <w:pPr>
        <w:ind w:left="2295" w:hanging="365"/>
      </w:pPr>
      <w:rPr>
        <w:rFonts w:hint="default"/>
        <w:lang w:val="en-US" w:eastAsia="en-US" w:bidi="ar-SA"/>
      </w:rPr>
    </w:lvl>
    <w:lvl w:ilvl="3" w:tplc="7494D9BC">
      <w:numFmt w:val="bullet"/>
      <w:lvlText w:val="•"/>
      <w:lvlJc w:val="left"/>
      <w:pPr>
        <w:ind w:left="3350" w:hanging="365"/>
      </w:pPr>
      <w:rPr>
        <w:rFonts w:hint="default"/>
        <w:lang w:val="en-US" w:eastAsia="en-US" w:bidi="ar-SA"/>
      </w:rPr>
    </w:lvl>
    <w:lvl w:ilvl="4" w:tplc="A2D68AA2">
      <w:numFmt w:val="bullet"/>
      <w:lvlText w:val="•"/>
      <w:lvlJc w:val="left"/>
      <w:pPr>
        <w:ind w:left="4406" w:hanging="365"/>
      </w:pPr>
      <w:rPr>
        <w:rFonts w:hint="default"/>
        <w:lang w:val="en-US" w:eastAsia="en-US" w:bidi="ar-SA"/>
      </w:rPr>
    </w:lvl>
    <w:lvl w:ilvl="5" w:tplc="07EA1D06">
      <w:numFmt w:val="bullet"/>
      <w:lvlText w:val="•"/>
      <w:lvlJc w:val="left"/>
      <w:pPr>
        <w:ind w:left="5461" w:hanging="365"/>
      </w:pPr>
      <w:rPr>
        <w:rFonts w:hint="default"/>
        <w:lang w:val="en-US" w:eastAsia="en-US" w:bidi="ar-SA"/>
      </w:rPr>
    </w:lvl>
    <w:lvl w:ilvl="6" w:tplc="BCB84FBE">
      <w:numFmt w:val="bullet"/>
      <w:lvlText w:val="•"/>
      <w:lvlJc w:val="left"/>
      <w:pPr>
        <w:ind w:left="6517" w:hanging="365"/>
      </w:pPr>
      <w:rPr>
        <w:rFonts w:hint="default"/>
        <w:lang w:val="en-US" w:eastAsia="en-US" w:bidi="ar-SA"/>
      </w:rPr>
    </w:lvl>
    <w:lvl w:ilvl="7" w:tplc="BC963524">
      <w:numFmt w:val="bullet"/>
      <w:lvlText w:val="•"/>
      <w:lvlJc w:val="left"/>
      <w:pPr>
        <w:ind w:left="7572" w:hanging="365"/>
      </w:pPr>
      <w:rPr>
        <w:rFonts w:hint="default"/>
        <w:lang w:val="en-US" w:eastAsia="en-US" w:bidi="ar-SA"/>
      </w:rPr>
    </w:lvl>
    <w:lvl w:ilvl="8" w:tplc="0F4649C4">
      <w:numFmt w:val="bullet"/>
      <w:lvlText w:val="•"/>
      <w:lvlJc w:val="left"/>
      <w:pPr>
        <w:ind w:left="8628" w:hanging="365"/>
      </w:pPr>
      <w:rPr>
        <w:rFonts w:hint="default"/>
        <w:lang w:val="en-US" w:eastAsia="en-US" w:bidi="ar-SA"/>
      </w:rPr>
    </w:lvl>
  </w:abstractNum>
  <w:abstractNum w:abstractNumId="9" w15:restartNumberingAfterBreak="0">
    <w:nsid w:val="4D48145E"/>
    <w:multiLevelType w:val="hybridMultilevel"/>
    <w:tmpl w:val="425AF660"/>
    <w:lvl w:ilvl="0" w:tplc="6FFC7076">
      <w:start w:val="1"/>
      <w:numFmt w:val="lowerLetter"/>
      <w:lvlText w:val="%1)"/>
      <w:lvlJc w:val="left"/>
      <w:pPr>
        <w:ind w:left="866" w:hanging="360"/>
      </w:pPr>
      <w:rPr>
        <w:rFonts w:ascii="VIC" w:eastAsia="VIC" w:hAnsi="VIC" w:cs="VIC" w:hint="default"/>
        <w:b w:val="0"/>
        <w:bCs w:val="0"/>
        <w:i w:val="0"/>
        <w:iCs w:val="0"/>
        <w:spacing w:val="0"/>
        <w:w w:val="100"/>
        <w:sz w:val="22"/>
        <w:szCs w:val="22"/>
        <w:lang w:val="en-US" w:eastAsia="en-US" w:bidi="ar-SA"/>
      </w:rPr>
    </w:lvl>
    <w:lvl w:ilvl="1" w:tplc="BAA8590C">
      <w:start w:val="1"/>
      <w:numFmt w:val="lowerRoman"/>
      <w:lvlText w:val="(%2)"/>
      <w:lvlJc w:val="left"/>
      <w:pPr>
        <w:ind w:left="1280" w:hanging="414"/>
      </w:pPr>
      <w:rPr>
        <w:rFonts w:ascii="VIC" w:eastAsia="VIC" w:hAnsi="VIC" w:cs="VIC" w:hint="default"/>
        <w:b w:val="0"/>
        <w:bCs w:val="0"/>
        <w:i w:val="0"/>
        <w:iCs w:val="0"/>
        <w:spacing w:val="-2"/>
        <w:w w:val="100"/>
        <w:sz w:val="22"/>
        <w:szCs w:val="22"/>
        <w:lang w:val="en-US" w:eastAsia="en-US" w:bidi="ar-SA"/>
      </w:rPr>
    </w:lvl>
    <w:lvl w:ilvl="2" w:tplc="BA54A27A">
      <w:numFmt w:val="bullet"/>
      <w:lvlText w:val="•"/>
      <w:lvlJc w:val="left"/>
      <w:pPr>
        <w:ind w:left="2331" w:hanging="414"/>
      </w:pPr>
      <w:rPr>
        <w:rFonts w:hint="default"/>
        <w:lang w:val="en-US" w:eastAsia="en-US" w:bidi="ar-SA"/>
      </w:rPr>
    </w:lvl>
    <w:lvl w:ilvl="3" w:tplc="CAC4477E">
      <w:numFmt w:val="bullet"/>
      <w:lvlText w:val="•"/>
      <w:lvlJc w:val="left"/>
      <w:pPr>
        <w:ind w:left="3382" w:hanging="414"/>
      </w:pPr>
      <w:rPr>
        <w:rFonts w:hint="default"/>
        <w:lang w:val="en-US" w:eastAsia="en-US" w:bidi="ar-SA"/>
      </w:rPr>
    </w:lvl>
    <w:lvl w:ilvl="4" w:tplc="1DAEF2D6">
      <w:numFmt w:val="bullet"/>
      <w:lvlText w:val="•"/>
      <w:lvlJc w:val="left"/>
      <w:pPr>
        <w:ind w:left="4433" w:hanging="414"/>
      </w:pPr>
      <w:rPr>
        <w:rFonts w:hint="default"/>
        <w:lang w:val="en-US" w:eastAsia="en-US" w:bidi="ar-SA"/>
      </w:rPr>
    </w:lvl>
    <w:lvl w:ilvl="5" w:tplc="B37295F0">
      <w:numFmt w:val="bullet"/>
      <w:lvlText w:val="•"/>
      <w:lvlJc w:val="left"/>
      <w:pPr>
        <w:ind w:left="5484" w:hanging="414"/>
      </w:pPr>
      <w:rPr>
        <w:rFonts w:hint="default"/>
        <w:lang w:val="en-US" w:eastAsia="en-US" w:bidi="ar-SA"/>
      </w:rPr>
    </w:lvl>
    <w:lvl w:ilvl="6" w:tplc="82DE0868">
      <w:numFmt w:val="bullet"/>
      <w:lvlText w:val="•"/>
      <w:lvlJc w:val="left"/>
      <w:pPr>
        <w:ind w:left="6535" w:hanging="414"/>
      </w:pPr>
      <w:rPr>
        <w:rFonts w:hint="default"/>
        <w:lang w:val="en-US" w:eastAsia="en-US" w:bidi="ar-SA"/>
      </w:rPr>
    </w:lvl>
    <w:lvl w:ilvl="7" w:tplc="D3227804">
      <w:numFmt w:val="bullet"/>
      <w:lvlText w:val="•"/>
      <w:lvlJc w:val="left"/>
      <w:pPr>
        <w:ind w:left="7586" w:hanging="414"/>
      </w:pPr>
      <w:rPr>
        <w:rFonts w:hint="default"/>
        <w:lang w:val="en-US" w:eastAsia="en-US" w:bidi="ar-SA"/>
      </w:rPr>
    </w:lvl>
    <w:lvl w:ilvl="8" w:tplc="B998A04A">
      <w:numFmt w:val="bullet"/>
      <w:lvlText w:val="•"/>
      <w:lvlJc w:val="left"/>
      <w:pPr>
        <w:ind w:left="8637" w:hanging="414"/>
      </w:pPr>
      <w:rPr>
        <w:rFonts w:hint="default"/>
        <w:lang w:val="en-US" w:eastAsia="en-US" w:bidi="ar-SA"/>
      </w:rPr>
    </w:lvl>
  </w:abstractNum>
  <w:abstractNum w:abstractNumId="10" w15:restartNumberingAfterBreak="0">
    <w:nsid w:val="4D6D1D34"/>
    <w:multiLevelType w:val="hybridMultilevel"/>
    <w:tmpl w:val="17C89CDE"/>
    <w:lvl w:ilvl="0" w:tplc="A014C670">
      <w:start w:val="1"/>
      <w:numFmt w:val="decimal"/>
      <w:lvlText w:val="%1."/>
      <w:lvlJc w:val="left"/>
      <w:pPr>
        <w:ind w:left="502" w:hanging="356"/>
      </w:pPr>
      <w:rPr>
        <w:rFonts w:ascii="VIC-Medium" w:eastAsia="VIC-Medium" w:hAnsi="VIC-Medium" w:cs="VIC-Medium" w:hint="default"/>
        <w:b w:val="0"/>
        <w:bCs w:val="0"/>
        <w:i w:val="0"/>
        <w:iCs w:val="0"/>
        <w:spacing w:val="0"/>
        <w:w w:val="100"/>
        <w:sz w:val="22"/>
        <w:szCs w:val="22"/>
        <w:lang w:val="en-US" w:eastAsia="en-US" w:bidi="ar-SA"/>
      </w:rPr>
    </w:lvl>
    <w:lvl w:ilvl="1" w:tplc="2EEA43B2">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2" w:tplc="5C549F9C">
      <w:numFmt w:val="bullet"/>
      <w:lvlText w:val="•"/>
      <w:lvlJc w:val="left"/>
      <w:pPr>
        <w:ind w:left="1957" w:hanging="360"/>
      </w:pPr>
      <w:rPr>
        <w:rFonts w:hint="default"/>
        <w:lang w:val="en-US" w:eastAsia="en-US" w:bidi="ar-SA"/>
      </w:rPr>
    </w:lvl>
    <w:lvl w:ilvl="3" w:tplc="CC485EAA">
      <w:numFmt w:val="bullet"/>
      <w:lvlText w:val="•"/>
      <w:lvlJc w:val="left"/>
      <w:pPr>
        <w:ind w:left="3055" w:hanging="360"/>
      </w:pPr>
      <w:rPr>
        <w:rFonts w:hint="default"/>
        <w:lang w:val="en-US" w:eastAsia="en-US" w:bidi="ar-SA"/>
      </w:rPr>
    </w:lvl>
    <w:lvl w:ilvl="4" w:tplc="1F2C2E1E">
      <w:numFmt w:val="bullet"/>
      <w:lvlText w:val="•"/>
      <w:lvlJc w:val="left"/>
      <w:pPr>
        <w:ind w:left="4153" w:hanging="360"/>
      </w:pPr>
      <w:rPr>
        <w:rFonts w:hint="default"/>
        <w:lang w:val="en-US" w:eastAsia="en-US" w:bidi="ar-SA"/>
      </w:rPr>
    </w:lvl>
    <w:lvl w:ilvl="5" w:tplc="A2365D34">
      <w:numFmt w:val="bullet"/>
      <w:lvlText w:val="•"/>
      <w:lvlJc w:val="left"/>
      <w:pPr>
        <w:ind w:left="5250" w:hanging="360"/>
      </w:pPr>
      <w:rPr>
        <w:rFonts w:hint="default"/>
        <w:lang w:val="en-US" w:eastAsia="en-US" w:bidi="ar-SA"/>
      </w:rPr>
    </w:lvl>
    <w:lvl w:ilvl="6" w:tplc="1A9AE336">
      <w:numFmt w:val="bullet"/>
      <w:lvlText w:val="•"/>
      <w:lvlJc w:val="left"/>
      <w:pPr>
        <w:ind w:left="6348" w:hanging="360"/>
      </w:pPr>
      <w:rPr>
        <w:rFonts w:hint="default"/>
        <w:lang w:val="en-US" w:eastAsia="en-US" w:bidi="ar-SA"/>
      </w:rPr>
    </w:lvl>
    <w:lvl w:ilvl="7" w:tplc="0AB297E0">
      <w:numFmt w:val="bullet"/>
      <w:lvlText w:val="•"/>
      <w:lvlJc w:val="left"/>
      <w:pPr>
        <w:ind w:left="7446" w:hanging="360"/>
      </w:pPr>
      <w:rPr>
        <w:rFonts w:hint="default"/>
        <w:lang w:val="en-US" w:eastAsia="en-US" w:bidi="ar-SA"/>
      </w:rPr>
    </w:lvl>
    <w:lvl w:ilvl="8" w:tplc="FE021704">
      <w:numFmt w:val="bullet"/>
      <w:lvlText w:val="•"/>
      <w:lvlJc w:val="left"/>
      <w:pPr>
        <w:ind w:left="8543" w:hanging="360"/>
      </w:pPr>
      <w:rPr>
        <w:rFonts w:hint="default"/>
        <w:lang w:val="en-US" w:eastAsia="en-US" w:bidi="ar-SA"/>
      </w:rPr>
    </w:lvl>
  </w:abstractNum>
  <w:abstractNum w:abstractNumId="11" w15:restartNumberingAfterBreak="0">
    <w:nsid w:val="4F04011C"/>
    <w:multiLevelType w:val="multilevel"/>
    <w:tmpl w:val="84B48D32"/>
    <w:lvl w:ilvl="0">
      <w:start w:val="1"/>
      <w:numFmt w:val="decimal"/>
      <w:lvlText w:val="%1"/>
      <w:lvlJc w:val="left"/>
      <w:pPr>
        <w:ind w:left="588" w:hanging="442"/>
      </w:pPr>
      <w:rPr>
        <w:rFonts w:ascii="VIC-Medium" w:eastAsia="VIC-Medium" w:hAnsi="VIC-Medium" w:cs="VIC-Medium" w:hint="default"/>
        <w:b w:val="0"/>
        <w:bCs w:val="0"/>
        <w:i w:val="0"/>
        <w:iCs w:val="0"/>
        <w:color w:val="003E71"/>
        <w:w w:val="100"/>
        <w:sz w:val="24"/>
        <w:szCs w:val="24"/>
        <w:lang w:val="en-US" w:eastAsia="en-US" w:bidi="ar-SA"/>
      </w:rPr>
    </w:lvl>
    <w:lvl w:ilvl="1">
      <w:start w:val="1"/>
      <w:numFmt w:val="decimal"/>
      <w:lvlText w:val="%1.%2"/>
      <w:lvlJc w:val="left"/>
      <w:pPr>
        <w:ind w:left="1025" w:hanging="658"/>
      </w:pPr>
      <w:rPr>
        <w:rFonts w:ascii="VIC-Medium" w:eastAsia="VIC-Medium" w:hAnsi="VIC-Medium" w:cs="VIC-Medium" w:hint="default"/>
        <w:b w:val="0"/>
        <w:bCs w:val="0"/>
        <w:i w:val="0"/>
        <w:iCs w:val="0"/>
        <w:spacing w:val="-1"/>
        <w:w w:val="100"/>
        <w:sz w:val="22"/>
        <w:szCs w:val="22"/>
        <w:lang w:val="en-US" w:eastAsia="en-US" w:bidi="ar-SA"/>
      </w:rPr>
    </w:lvl>
    <w:lvl w:ilvl="2">
      <w:start w:val="1"/>
      <w:numFmt w:val="decimal"/>
      <w:lvlText w:val="%1.%2.%3"/>
      <w:lvlJc w:val="left"/>
      <w:pPr>
        <w:ind w:left="1467" w:hanging="879"/>
      </w:pPr>
      <w:rPr>
        <w:rFonts w:ascii="VIC-Medium" w:eastAsia="VIC-Medium" w:hAnsi="VIC-Medium" w:cs="VIC-Medium" w:hint="default"/>
        <w:b w:val="0"/>
        <w:bCs w:val="0"/>
        <w:i w:val="0"/>
        <w:iCs w:val="0"/>
        <w:spacing w:val="-1"/>
        <w:w w:val="100"/>
        <w:sz w:val="22"/>
        <w:szCs w:val="22"/>
        <w:lang w:val="en-US" w:eastAsia="en-US" w:bidi="ar-SA"/>
      </w:rPr>
    </w:lvl>
    <w:lvl w:ilvl="3">
      <w:numFmt w:val="bullet"/>
      <w:lvlText w:val="•"/>
      <w:lvlJc w:val="left"/>
      <w:pPr>
        <w:ind w:left="2619" w:hanging="879"/>
      </w:pPr>
      <w:rPr>
        <w:rFonts w:hint="default"/>
        <w:lang w:val="en-US" w:eastAsia="en-US" w:bidi="ar-SA"/>
      </w:rPr>
    </w:lvl>
    <w:lvl w:ilvl="4">
      <w:numFmt w:val="bullet"/>
      <w:lvlText w:val="•"/>
      <w:lvlJc w:val="left"/>
      <w:pPr>
        <w:ind w:left="3779" w:hanging="879"/>
      </w:pPr>
      <w:rPr>
        <w:rFonts w:hint="default"/>
        <w:lang w:val="en-US" w:eastAsia="en-US" w:bidi="ar-SA"/>
      </w:rPr>
    </w:lvl>
    <w:lvl w:ilvl="5">
      <w:numFmt w:val="bullet"/>
      <w:lvlText w:val="•"/>
      <w:lvlJc w:val="left"/>
      <w:pPr>
        <w:ind w:left="4939" w:hanging="879"/>
      </w:pPr>
      <w:rPr>
        <w:rFonts w:hint="default"/>
        <w:lang w:val="en-US" w:eastAsia="en-US" w:bidi="ar-SA"/>
      </w:rPr>
    </w:lvl>
    <w:lvl w:ilvl="6">
      <w:numFmt w:val="bullet"/>
      <w:lvlText w:val="•"/>
      <w:lvlJc w:val="left"/>
      <w:pPr>
        <w:ind w:left="6099" w:hanging="879"/>
      </w:pPr>
      <w:rPr>
        <w:rFonts w:hint="default"/>
        <w:lang w:val="en-US" w:eastAsia="en-US" w:bidi="ar-SA"/>
      </w:rPr>
    </w:lvl>
    <w:lvl w:ilvl="7">
      <w:numFmt w:val="bullet"/>
      <w:lvlText w:val="•"/>
      <w:lvlJc w:val="left"/>
      <w:pPr>
        <w:ind w:left="7259" w:hanging="879"/>
      </w:pPr>
      <w:rPr>
        <w:rFonts w:hint="default"/>
        <w:lang w:val="en-US" w:eastAsia="en-US" w:bidi="ar-SA"/>
      </w:rPr>
    </w:lvl>
    <w:lvl w:ilvl="8">
      <w:numFmt w:val="bullet"/>
      <w:lvlText w:val="•"/>
      <w:lvlJc w:val="left"/>
      <w:pPr>
        <w:ind w:left="8419" w:hanging="879"/>
      </w:pPr>
      <w:rPr>
        <w:rFonts w:hint="default"/>
        <w:lang w:val="en-US" w:eastAsia="en-US" w:bidi="ar-SA"/>
      </w:rPr>
    </w:lvl>
  </w:abstractNum>
  <w:abstractNum w:abstractNumId="12" w15:restartNumberingAfterBreak="0">
    <w:nsid w:val="535E0E33"/>
    <w:multiLevelType w:val="hybridMultilevel"/>
    <w:tmpl w:val="F132D154"/>
    <w:lvl w:ilvl="0" w:tplc="28C8DDC8">
      <w:start w:val="1"/>
      <w:numFmt w:val="lowerRoman"/>
      <w:lvlText w:val="(%1)"/>
      <w:lvlJc w:val="left"/>
      <w:pPr>
        <w:ind w:left="866" w:hanging="360"/>
      </w:pPr>
      <w:rPr>
        <w:rFonts w:ascii="VIC" w:eastAsia="VIC" w:hAnsi="VIC" w:cs="VIC" w:hint="default"/>
        <w:b w:val="0"/>
        <w:bCs w:val="0"/>
        <w:i w:val="0"/>
        <w:iCs w:val="0"/>
        <w:spacing w:val="-2"/>
        <w:w w:val="100"/>
        <w:sz w:val="22"/>
        <w:szCs w:val="22"/>
        <w:lang w:val="en-US" w:eastAsia="en-US" w:bidi="ar-SA"/>
      </w:rPr>
    </w:lvl>
    <w:lvl w:ilvl="1" w:tplc="01AA0FDA">
      <w:numFmt w:val="bullet"/>
      <w:lvlText w:val="•"/>
      <w:lvlJc w:val="left"/>
      <w:pPr>
        <w:ind w:left="1847" w:hanging="360"/>
      </w:pPr>
      <w:rPr>
        <w:rFonts w:hint="default"/>
        <w:lang w:val="en-US" w:eastAsia="en-US" w:bidi="ar-SA"/>
      </w:rPr>
    </w:lvl>
    <w:lvl w:ilvl="2" w:tplc="698202C8">
      <w:numFmt w:val="bullet"/>
      <w:lvlText w:val="•"/>
      <w:lvlJc w:val="left"/>
      <w:pPr>
        <w:ind w:left="2835" w:hanging="360"/>
      </w:pPr>
      <w:rPr>
        <w:rFonts w:hint="default"/>
        <w:lang w:val="en-US" w:eastAsia="en-US" w:bidi="ar-SA"/>
      </w:rPr>
    </w:lvl>
    <w:lvl w:ilvl="3" w:tplc="1EE0FD9A">
      <w:numFmt w:val="bullet"/>
      <w:lvlText w:val="•"/>
      <w:lvlJc w:val="left"/>
      <w:pPr>
        <w:ind w:left="3823" w:hanging="360"/>
      </w:pPr>
      <w:rPr>
        <w:rFonts w:hint="default"/>
        <w:lang w:val="en-US" w:eastAsia="en-US" w:bidi="ar-SA"/>
      </w:rPr>
    </w:lvl>
    <w:lvl w:ilvl="4" w:tplc="BB764E38">
      <w:numFmt w:val="bullet"/>
      <w:lvlText w:val="•"/>
      <w:lvlJc w:val="left"/>
      <w:pPr>
        <w:ind w:left="4811" w:hanging="360"/>
      </w:pPr>
      <w:rPr>
        <w:rFonts w:hint="default"/>
        <w:lang w:val="en-US" w:eastAsia="en-US" w:bidi="ar-SA"/>
      </w:rPr>
    </w:lvl>
    <w:lvl w:ilvl="5" w:tplc="2AA8EC5E">
      <w:numFmt w:val="bullet"/>
      <w:lvlText w:val="•"/>
      <w:lvlJc w:val="left"/>
      <w:pPr>
        <w:ind w:left="5799" w:hanging="360"/>
      </w:pPr>
      <w:rPr>
        <w:rFonts w:hint="default"/>
        <w:lang w:val="en-US" w:eastAsia="en-US" w:bidi="ar-SA"/>
      </w:rPr>
    </w:lvl>
    <w:lvl w:ilvl="6" w:tplc="67B4C7C4">
      <w:numFmt w:val="bullet"/>
      <w:lvlText w:val="•"/>
      <w:lvlJc w:val="left"/>
      <w:pPr>
        <w:ind w:left="6787" w:hanging="360"/>
      </w:pPr>
      <w:rPr>
        <w:rFonts w:hint="default"/>
        <w:lang w:val="en-US" w:eastAsia="en-US" w:bidi="ar-SA"/>
      </w:rPr>
    </w:lvl>
    <w:lvl w:ilvl="7" w:tplc="67360076">
      <w:numFmt w:val="bullet"/>
      <w:lvlText w:val="•"/>
      <w:lvlJc w:val="left"/>
      <w:pPr>
        <w:ind w:left="7775" w:hanging="360"/>
      </w:pPr>
      <w:rPr>
        <w:rFonts w:hint="default"/>
        <w:lang w:val="en-US" w:eastAsia="en-US" w:bidi="ar-SA"/>
      </w:rPr>
    </w:lvl>
    <w:lvl w:ilvl="8" w:tplc="15D2982E">
      <w:numFmt w:val="bullet"/>
      <w:lvlText w:val="•"/>
      <w:lvlJc w:val="left"/>
      <w:pPr>
        <w:ind w:left="8763" w:hanging="360"/>
      </w:pPr>
      <w:rPr>
        <w:rFonts w:hint="default"/>
        <w:lang w:val="en-US" w:eastAsia="en-US" w:bidi="ar-SA"/>
      </w:rPr>
    </w:lvl>
  </w:abstractNum>
  <w:abstractNum w:abstractNumId="13" w15:restartNumberingAfterBreak="0">
    <w:nsid w:val="538F6CE2"/>
    <w:multiLevelType w:val="hybridMultilevel"/>
    <w:tmpl w:val="E576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B34B99"/>
    <w:multiLevelType w:val="multilevel"/>
    <w:tmpl w:val="F544C89E"/>
    <w:lvl w:ilvl="0">
      <w:start w:val="1"/>
      <w:numFmt w:val="decimal"/>
      <w:lvlText w:val="%1"/>
      <w:lvlJc w:val="left"/>
      <w:pPr>
        <w:ind w:left="360" w:hanging="360"/>
      </w:pPr>
      <w:rPr>
        <w:rFonts w:hint="default"/>
        <w:sz w:val="26"/>
      </w:rPr>
    </w:lvl>
    <w:lvl w:ilvl="1">
      <w:start w:val="1"/>
      <w:numFmt w:val="decimal"/>
      <w:lvlText w:val="%1.%2"/>
      <w:lvlJc w:val="left"/>
      <w:pPr>
        <w:ind w:left="1080" w:hanging="720"/>
      </w:pPr>
      <w:rPr>
        <w:rFonts w:hint="default"/>
        <w:sz w:val="26"/>
      </w:rPr>
    </w:lvl>
    <w:lvl w:ilvl="2">
      <w:start w:val="1"/>
      <w:numFmt w:val="decimal"/>
      <w:lvlText w:val="%1.%2.%3"/>
      <w:lvlJc w:val="left"/>
      <w:pPr>
        <w:ind w:left="1440" w:hanging="720"/>
      </w:pPr>
      <w:rPr>
        <w:rFonts w:hint="default"/>
        <w:sz w:val="26"/>
      </w:rPr>
    </w:lvl>
    <w:lvl w:ilvl="3">
      <w:start w:val="1"/>
      <w:numFmt w:val="decimal"/>
      <w:lvlText w:val="%1.%2.%3.%4"/>
      <w:lvlJc w:val="left"/>
      <w:pPr>
        <w:ind w:left="2160" w:hanging="1080"/>
      </w:pPr>
      <w:rPr>
        <w:rFonts w:hint="default"/>
        <w:sz w:val="26"/>
      </w:rPr>
    </w:lvl>
    <w:lvl w:ilvl="4">
      <w:start w:val="1"/>
      <w:numFmt w:val="decimal"/>
      <w:lvlText w:val="%1.%2.%3.%4.%5"/>
      <w:lvlJc w:val="left"/>
      <w:pPr>
        <w:ind w:left="2520" w:hanging="1080"/>
      </w:pPr>
      <w:rPr>
        <w:rFonts w:hint="default"/>
        <w:sz w:val="26"/>
      </w:rPr>
    </w:lvl>
    <w:lvl w:ilvl="5">
      <w:start w:val="1"/>
      <w:numFmt w:val="decimal"/>
      <w:lvlText w:val="%1.%2.%3.%4.%5.%6"/>
      <w:lvlJc w:val="left"/>
      <w:pPr>
        <w:ind w:left="3240" w:hanging="1440"/>
      </w:pPr>
      <w:rPr>
        <w:rFonts w:hint="default"/>
        <w:sz w:val="26"/>
      </w:rPr>
    </w:lvl>
    <w:lvl w:ilvl="6">
      <w:start w:val="1"/>
      <w:numFmt w:val="decimal"/>
      <w:lvlText w:val="%1.%2.%3.%4.%5.%6.%7"/>
      <w:lvlJc w:val="left"/>
      <w:pPr>
        <w:ind w:left="3600" w:hanging="1440"/>
      </w:pPr>
      <w:rPr>
        <w:rFonts w:hint="default"/>
        <w:sz w:val="26"/>
      </w:rPr>
    </w:lvl>
    <w:lvl w:ilvl="7">
      <w:start w:val="1"/>
      <w:numFmt w:val="decimal"/>
      <w:lvlText w:val="%1.%2.%3.%4.%5.%6.%7.%8"/>
      <w:lvlJc w:val="left"/>
      <w:pPr>
        <w:ind w:left="4320" w:hanging="1800"/>
      </w:pPr>
      <w:rPr>
        <w:rFonts w:hint="default"/>
        <w:sz w:val="26"/>
      </w:rPr>
    </w:lvl>
    <w:lvl w:ilvl="8">
      <w:start w:val="1"/>
      <w:numFmt w:val="decimal"/>
      <w:lvlText w:val="%1.%2.%3.%4.%5.%6.%7.%8.%9"/>
      <w:lvlJc w:val="left"/>
      <w:pPr>
        <w:ind w:left="5040" w:hanging="2160"/>
      </w:pPr>
      <w:rPr>
        <w:rFonts w:hint="default"/>
        <w:sz w:val="26"/>
      </w:rPr>
    </w:lvl>
  </w:abstractNum>
  <w:abstractNum w:abstractNumId="15" w15:restartNumberingAfterBreak="0">
    <w:nsid w:val="5C672DD5"/>
    <w:multiLevelType w:val="hybridMultilevel"/>
    <w:tmpl w:val="F234752A"/>
    <w:lvl w:ilvl="0" w:tplc="6346FF4E">
      <w:numFmt w:val="bullet"/>
      <w:lvlText w:val="•"/>
      <w:lvlJc w:val="left"/>
      <w:pPr>
        <w:ind w:left="866" w:hanging="360"/>
      </w:pPr>
      <w:rPr>
        <w:rFonts w:ascii="Arial" w:eastAsia="Arial" w:hAnsi="Arial" w:cs="Arial" w:hint="default"/>
        <w:b w:val="0"/>
        <w:bCs w:val="0"/>
        <w:i w:val="0"/>
        <w:iCs w:val="0"/>
        <w:w w:val="131"/>
        <w:sz w:val="22"/>
        <w:szCs w:val="22"/>
        <w:lang w:val="en-US" w:eastAsia="en-US" w:bidi="ar-SA"/>
      </w:rPr>
    </w:lvl>
    <w:lvl w:ilvl="1" w:tplc="E81656BE">
      <w:numFmt w:val="bullet"/>
      <w:lvlText w:val="o"/>
      <w:lvlJc w:val="left"/>
      <w:pPr>
        <w:ind w:left="1587" w:hanging="356"/>
      </w:pPr>
      <w:rPr>
        <w:rFonts w:ascii="Courier New" w:eastAsia="Courier New" w:hAnsi="Courier New" w:cs="Courier New" w:hint="default"/>
        <w:b w:val="0"/>
        <w:bCs w:val="0"/>
        <w:i w:val="0"/>
        <w:iCs w:val="0"/>
        <w:w w:val="100"/>
        <w:sz w:val="22"/>
        <w:szCs w:val="22"/>
        <w:lang w:val="en-US" w:eastAsia="en-US" w:bidi="ar-SA"/>
      </w:rPr>
    </w:lvl>
    <w:lvl w:ilvl="2" w:tplc="4E3CDD20">
      <w:numFmt w:val="bullet"/>
      <w:lvlText w:val="•"/>
      <w:lvlJc w:val="left"/>
      <w:pPr>
        <w:ind w:left="2597" w:hanging="356"/>
      </w:pPr>
      <w:rPr>
        <w:rFonts w:hint="default"/>
        <w:lang w:val="en-US" w:eastAsia="en-US" w:bidi="ar-SA"/>
      </w:rPr>
    </w:lvl>
    <w:lvl w:ilvl="3" w:tplc="8D601BA8">
      <w:numFmt w:val="bullet"/>
      <w:lvlText w:val="•"/>
      <w:lvlJc w:val="left"/>
      <w:pPr>
        <w:ind w:left="3615" w:hanging="356"/>
      </w:pPr>
      <w:rPr>
        <w:rFonts w:hint="default"/>
        <w:lang w:val="en-US" w:eastAsia="en-US" w:bidi="ar-SA"/>
      </w:rPr>
    </w:lvl>
    <w:lvl w:ilvl="4" w:tplc="57B29CE8">
      <w:numFmt w:val="bullet"/>
      <w:lvlText w:val="•"/>
      <w:lvlJc w:val="left"/>
      <w:pPr>
        <w:ind w:left="4633" w:hanging="356"/>
      </w:pPr>
      <w:rPr>
        <w:rFonts w:hint="default"/>
        <w:lang w:val="en-US" w:eastAsia="en-US" w:bidi="ar-SA"/>
      </w:rPr>
    </w:lvl>
    <w:lvl w:ilvl="5" w:tplc="15C21302">
      <w:numFmt w:val="bullet"/>
      <w:lvlText w:val="•"/>
      <w:lvlJc w:val="left"/>
      <w:pPr>
        <w:ind w:left="5650" w:hanging="356"/>
      </w:pPr>
      <w:rPr>
        <w:rFonts w:hint="default"/>
        <w:lang w:val="en-US" w:eastAsia="en-US" w:bidi="ar-SA"/>
      </w:rPr>
    </w:lvl>
    <w:lvl w:ilvl="6" w:tplc="A4A27780">
      <w:numFmt w:val="bullet"/>
      <w:lvlText w:val="•"/>
      <w:lvlJc w:val="left"/>
      <w:pPr>
        <w:ind w:left="6668" w:hanging="356"/>
      </w:pPr>
      <w:rPr>
        <w:rFonts w:hint="default"/>
        <w:lang w:val="en-US" w:eastAsia="en-US" w:bidi="ar-SA"/>
      </w:rPr>
    </w:lvl>
    <w:lvl w:ilvl="7" w:tplc="08422FA6">
      <w:numFmt w:val="bullet"/>
      <w:lvlText w:val="•"/>
      <w:lvlJc w:val="left"/>
      <w:pPr>
        <w:ind w:left="7686" w:hanging="356"/>
      </w:pPr>
      <w:rPr>
        <w:rFonts w:hint="default"/>
        <w:lang w:val="en-US" w:eastAsia="en-US" w:bidi="ar-SA"/>
      </w:rPr>
    </w:lvl>
    <w:lvl w:ilvl="8" w:tplc="52060A38">
      <w:numFmt w:val="bullet"/>
      <w:lvlText w:val="•"/>
      <w:lvlJc w:val="left"/>
      <w:pPr>
        <w:ind w:left="8703" w:hanging="356"/>
      </w:pPr>
      <w:rPr>
        <w:rFonts w:hint="default"/>
        <w:lang w:val="en-US" w:eastAsia="en-US" w:bidi="ar-SA"/>
      </w:rPr>
    </w:lvl>
  </w:abstractNum>
  <w:abstractNum w:abstractNumId="16" w15:restartNumberingAfterBreak="0">
    <w:nsid w:val="5C946F5F"/>
    <w:multiLevelType w:val="hybridMultilevel"/>
    <w:tmpl w:val="9D3CA23A"/>
    <w:lvl w:ilvl="0" w:tplc="0F987EDA">
      <w:start w:val="1"/>
      <w:numFmt w:val="lowerLetter"/>
      <w:lvlText w:val="%1)"/>
      <w:lvlJc w:val="left"/>
      <w:pPr>
        <w:ind w:left="862" w:hanging="360"/>
      </w:pPr>
      <w:rPr>
        <w:rFonts w:ascii="VIC" w:eastAsia="VIC" w:hAnsi="VIC" w:cs="VIC" w:hint="default"/>
        <w:b w:val="0"/>
        <w:bCs w:val="0"/>
        <w:i w:val="0"/>
        <w:iCs w:val="0"/>
        <w:spacing w:val="0"/>
        <w:w w:val="100"/>
        <w:sz w:val="22"/>
        <w:szCs w:val="22"/>
        <w:lang w:val="en-US" w:eastAsia="en-US" w:bidi="ar-SA"/>
      </w:rPr>
    </w:lvl>
    <w:lvl w:ilvl="1" w:tplc="EA08B882">
      <w:numFmt w:val="bullet"/>
      <w:lvlText w:val="•"/>
      <w:lvlJc w:val="left"/>
      <w:pPr>
        <w:ind w:left="1847" w:hanging="360"/>
      </w:pPr>
      <w:rPr>
        <w:rFonts w:hint="default"/>
        <w:lang w:val="en-US" w:eastAsia="en-US" w:bidi="ar-SA"/>
      </w:rPr>
    </w:lvl>
    <w:lvl w:ilvl="2" w:tplc="EC78617C">
      <w:numFmt w:val="bullet"/>
      <w:lvlText w:val="•"/>
      <w:lvlJc w:val="left"/>
      <w:pPr>
        <w:ind w:left="2835" w:hanging="360"/>
      </w:pPr>
      <w:rPr>
        <w:rFonts w:hint="default"/>
        <w:lang w:val="en-US" w:eastAsia="en-US" w:bidi="ar-SA"/>
      </w:rPr>
    </w:lvl>
    <w:lvl w:ilvl="3" w:tplc="384AD910">
      <w:numFmt w:val="bullet"/>
      <w:lvlText w:val="•"/>
      <w:lvlJc w:val="left"/>
      <w:pPr>
        <w:ind w:left="3823" w:hanging="360"/>
      </w:pPr>
      <w:rPr>
        <w:rFonts w:hint="default"/>
        <w:lang w:val="en-US" w:eastAsia="en-US" w:bidi="ar-SA"/>
      </w:rPr>
    </w:lvl>
    <w:lvl w:ilvl="4" w:tplc="B2BEBAB8">
      <w:numFmt w:val="bullet"/>
      <w:lvlText w:val="•"/>
      <w:lvlJc w:val="left"/>
      <w:pPr>
        <w:ind w:left="4811" w:hanging="360"/>
      </w:pPr>
      <w:rPr>
        <w:rFonts w:hint="default"/>
        <w:lang w:val="en-US" w:eastAsia="en-US" w:bidi="ar-SA"/>
      </w:rPr>
    </w:lvl>
    <w:lvl w:ilvl="5" w:tplc="A260C914">
      <w:numFmt w:val="bullet"/>
      <w:lvlText w:val="•"/>
      <w:lvlJc w:val="left"/>
      <w:pPr>
        <w:ind w:left="5799" w:hanging="360"/>
      </w:pPr>
      <w:rPr>
        <w:rFonts w:hint="default"/>
        <w:lang w:val="en-US" w:eastAsia="en-US" w:bidi="ar-SA"/>
      </w:rPr>
    </w:lvl>
    <w:lvl w:ilvl="6" w:tplc="C2969278">
      <w:numFmt w:val="bullet"/>
      <w:lvlText w:val="•"/>
      <w:lvlJc w:val="left"/>
      <w:pPr>
        <w:ind w:left="6787" w:hanging="360"/>
      </w:pPr>
      <w:rPr>
        <w:rFonts w:hint="default"/>
        <w:lang w:val="en-US" w:eastAsia="en-US" w:bidi="ar-SA"/>
      </w:rPr>
    </w:lvl>
    <w:lvl w:ilvl="7" w:tplc="AAAE5A84">
      <w:numFmt w:val="bullet"/>
      <w:lvlText w:val="•"/>
      <w:lvlJc w:val="left"/>
      <w:pPr>
        <w:ind w:left="7775" w:hanging="360"/>
      </w:pPr>
      <w:rPr>
        <w:rFonts w:hint="default"/>
        <w:lang w:val="en-US" w:eastAsia="en-US" w:bidi="ar-SA"/>
      </w:rPr>
    </w:lvl>
    <w:lvl w:ilvl="8" w:tplc="E7068C70">
      <w:numFmt w:val="bullet"/>
      <w:lvlText w:val="•"/>
      <w:lvlJc w:val="left"/>
      <w:pPr>
        <w:ind w:left="8763" w:hanging="360"/>
      </w:pPr>
      <w:rPr>
        <w:rFonts w:hint="default"/>
        <w:lang w:val="en-US" w:eastAsia="en-US" w:bidi="ar-SA"/>
      </w:rPr>
    </w:lvl>
  </w:abstractNum>
  <w:abstractNum w:abstractNumId="17" w15:restartNumberingAfterBreak="0">
    <w:nsid w:val="5D095D9F"/>
    <w:multiLevelType w:val="hybridMultilevel"/>
    <w:tmpl w:val="EFE6DE64"/>
    <w:lvl w:ilvl="0" w:tplc="5F9C464C">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1" w:tplc="3E883EAC">
      <w:numFmt w:val="bullet"/>
      <w:lvlText w:val="•"/>
      <w:lvlJc w:val="left"/>
      <w:pPr>
        <w:ind w:left="1847" w:hanging="360"/>
      </w:pPr>
      <w:rPr>
        <w:rFonts w:hint="default"/>
        <w:lang w:val="en-US" w:eastAsia="en-US" w:bidi="ar-SA"/>
      </w:rPr>
    </w:lvl>
    <w:lvl w:ilvl="2" w:tplc="B6F424C6">
      <w:numFmt w:val="bullet"/>
      <w:lvlText w:val="•"/>
      <w:lvlJc w:val="left"/>
      <w:pPr>
        <w:ind w:left="2835" w:hanging="360"/>
      </w:pPr>
      <w:rPr>
        <w:rFonts w:hint="default"/>
        <w:lang w:val="en-US" w:eastAsia="en-US" w:bidi="ar-SA"/>
      </w:rPr>
    </w:lvl>
    <w:lvl w:ilvl="3" w:tplc="2BCA7264">
      <w:numFmt w:val="bullet"/>
      <w:lvlText w:val="•"/>
      <w:lvlJc w:val="left"/>
      <w:pPr>
        <w:ind w:left="3823" w:hanging="360"/>
      </w:pPr>
      <w:rPr>
        <w:rFonts w:hint="default"/>
        <w:lang w:val="en-US" w:eastAsia="en-US" w:bidi="ar-SA"/>
      </w:rPr>
    </w:lvl>
    <w:lvl w:ilvl="4" w:tplc="D1181DEC">
      <w:numFmt w:val="bullet"/>
      <w:lvlText w:val="•"/>
      <w:lvlJc w:val="left"/>
      <w:pPr>
        <w:ind w:left="4811" w:hanging="360"/>
      </w:pPr>
      <w:rPr>
        <w:rFonts w:hint="default"/>
        <w:lang w:val="en-US" w:eastAsia="en-US" w:bidi="ar-SA"/>
      </w:rPr>
    </w:lvl>
    <w:lvl w:ilvl="5" w:tplc="5DC610F8">
      <w:numFmt w:val="bullet"/>
      <w:lvlText w:val="•"/>
      <w:lvlJc w:val="left"/>
      <w:pPr>
        <w:ind w:left="5799" w:hanging="360"/>
      </w:pPr>
      <w:rPr>
        <w:rFonts w:hint="default"/>
        <w:lang w:val="en-US" w:eastAsia="en-US" w:bidi="ar-SA"/>
      </w:rPr>
    </w:lvl>
    <w:lvl w:ilvl="6" w:tplc="7ABAD304">
      <w:numFmt w:val="bullet"/>
      <w:lvlText w:val="•"/>
      <w:lvlJc w:val="left"/>
      <w:pPr>
        <w:ind w:left="6787" w:hanging="360"/>
      </w:pPr>
      <w:rPr>
        <w:rFonts w:hint="default"/>
        <w:lang w:val="en-US" w:eastAsia="en-US" w:bidi="ar-SA"/>
      </w:rPr>
    </w:lvl>
    <w:lvl w:ilvl="7" w:tplc="C93A652E">
      <w:numFmt w:val="bullet"/>
      <w:lvlText w:val="•"/>
      <w:lvlJc w:val="left"/>
      <w:pPr>
        <w:ind w:left="7775" w:hanging="360"/>
      </w:pPr>
      <w:rPr>
        <w:rFonts w:hint="default"/>
        <w:lang w:val="en-US" w:eastAsia="en-US" w:bidi="ar-SA"/>
      </w:rPr>
    </w:lvl>
    <w:lvl w:ilvl="8" w:tplc="1B143554">
      <w:numFmt w:val="bullet"/>
      <w:lvlText w:val="•"/>
      <w:lvlJc w:val="left"/>
      <w:pPr>
        <w:ind w:left="8763" w:hanging="360"/>
      </w:pPr>
      <w:rPr>
        <w:rFonts w:hint="default"/>
        <w:lang w:val="en-US" w:eastAsia="en-US" w:bidi="ar-SA"/>
      </w:rPr>
    </w:lvl>
  </w:abstractNum>
  <w:abstractNum w:abstractNumId="18" w15:restartNumberingAfterBreak="0">
    <w:nsid w:val="67307BA2"/>
    <w:multiLevelType w:val="hybridMultilevel"/>
    <w:tmpl w:val="9760ABF4"/>
    <w:lvl w:ilvl="0" w:tplc="43B87F40">
      <w:start w:val="1"/>
      <w:numFmt w:val="lowerLetter"/>
      <w:lvlText w:val="%1)"/>
      <w:lvlJc w:val="left"/>
      <w:pPr>
        <w:ind w:left="914" w:hanging="485"/>
      </w:pPr>
      <w:rPr>
        <w:rFonts w:ascii="VIC" w:eastAsia="VIC" w:hAnsi="VIC" w:cs="VIC" w:hint="default"/>
        <w:b w:val="0"/>
        <w:bCs w:val="0"/>
        <w:i w:val="0"/>
        <w:iCs w:val="0"/>
        <w:spacing w:val="0"/>
        <w:w w:val="100"/>
        <w:sz w:val="22"/>
        <w:szCs w:val="22"/>
        <w:lang w:val="en-US" w:eastAsia="en-US" w:bidi="ar-SA"/>
      </w:rPr>
    </w:lvl>
    <w:lvl w:ilvl="1" w:tplc="1E18D4CE">
      <w:numFmt w:val="bullet"/>
      <w:lvlText w:val="•"/>
      <w:lvlJc w:val="left"/>
      <w:pPr>
        <w:ind w:left="1901" w:hanging="485"/>
      </w:pPr>
      <w:rPr>
        <w:rFonts w:hint="default"/>
        <w:lang w:val="en-US" w:eastAsia="en-US" w:bidi="ar-SA"/>
      </w:rPr>
    </w:lvl>
    <w:lvl w:ilvl="2" w:tplc="6AB28EDE">
      <w:numFmt w:val="bullet"/>
      <w:lvlText w:val="•"/>
      <w:lvlJc w:val="left"/>
      <w:pPr>
        <w:ind w:left="2883" w:hanging="485"/>
      </w:pPr>
      <w:rPr>
        <w:rFonts w:hint="default"/>
        <w:lang w:val="en-US" w:eastAsia="en-US" w:bidi="ar-SA"/>
      </w:rPr>
    </w:lvl>
    <w:lvl w:ilvl="3" w:tplc="4A447CFC">
      <w:numFmt w:val="bullet"/>
      <w:lvlText w:val="•"/>
      <w:lvlJc w:val="left"/>
      <w:pPr>
        <w:ind w:left="3865" w:hanging="485"/>
      </w:pPr>
      <w:rPr>
        <w:rFonts w:hint="default"/>
        <w:lang w:val="en-US" w:eastAsia="en-US" w:bidi="ar-SA"/>
      </w:rPr>
    </w:lvl>
    <w:lvl w:ilvl="4" w:tplc="552A8126">
      <w:numFmt w:val="bullet"/>
      <w:lvlText w:val="•"/>
      <w:lvlJc w:val="left"/>
      <w:pPr>
        <w:ind w:left="4847" w:hanging="485"/>
      </w:pPr>
      <w:rPr>
        <w:rFonts w:hint="default"/>
        <w:lang w:val="en-US" w:eastAsia="en-US" w:bidi="ar-SA"/>
      </w:rPr>
    </w:lvl>
    <w:lvl w:ilvl="5" w:tplc="0742B628">
      <w:numFmt w:val="bullet"/>
      <w:lvlText w:val="•"/>
      <w:lvlJc w:val="left"/>
      <w:pPr>
        <w:ind w:left="5829" w:hanging="485"/>
      </w:pPr>
      <w:rPr>
        <w:rFonts w:hint="default"/>
        <w:lang w:val="en-US" w:eastAsia="en-US" w:bidi="ar-SA"/>
      </w:rPr>
    </w:lvl>
    <w:lvl w:ilvl="6" w:tplc="B0A2DDE8">
      <w:numFmt w:val="bullet"/>
      <w:lvlText w:val="•"/>
      <w:lvlJc w:val="left"/>
      <w:pPr>
        <w:ind w:left="6811" w:hanging="485"/>
      </w:pPr>
      <w:rPr>
        <w:rFonts w:hint="default"/>
        <w:lang w:val="en-US" w:eastAsia="en-US" w:bidi="ar-SA"/>
      </w:rPr>
    </w:lvl>
    <w:lvl w:ilvl="7" w:tplc="B81470E6">
      <w:numFmt w:val="bullet"/>
      <w:lvlText w:val="•"/>
      <w:lvlJc w:val="left"/>
      <w:pPr>
        <w:ind w:left="7793" w:hanging="485"/>
      </w:pPr>
      <w:rPr>
        <w:rFonts w:hint="default"/>
        <w:lang w:val="en-US" w:eastAsia="en-US" w:bidi="ar-SA"/>
      </w:rPr>
    </w:lvl>
    <w:lvl w:ilvl="8" w:tplc="885EFECA">
      <w:numFmt w:val="bullet"/>
      <w:lvlText w:val="•"/>
      <w:lvlJc w:val="left"/>
      <w:pPr>
        <w:ind w:left="8775" w:hanging="485"/>
      </w:pPr>
      <w:rPr>
        <w:rFonts w:hint="default"/>
        <w:lang w:val="en-US" w:eastAsia="en-US" w:bidi="ar-SA"/>
      </w:rPr>
    </w:lvl>
  </w:abstractNum>
  <w:abstractNum w:abstractNumId="19" w15:restartNumberingAfterBreak="0">
    <w:nsid w:val="6A396379"/>
    <w:multiLevelType w:val="multilevel"/>
    <w:tmpl w:val="E45AFBD0"/>
    <w:lvl w:ilvl="0">
      <w:start w:val="1"/>
      <w:numFmt w:val="decimal"/>
      <w:lvlText w:val="%1"/>
      <w:lvlJc w:val="left"/>
      <w:pPr>
        <w:ind w:left="390" w:hanging="390"/>
      </w:pPr>
      <w:rPr>
        <w:rFonts w:hint="default"/>
        <w:color w:val="003E71"/>
        <w:sz w:val="30"/>
      </w:rPr>
    </w:lvl>
    <w:lvl w:ilvl="1">
      <w:start w:val="8"/>
      <w:numFmt w:val="decimal"/>
      <w:lvlText w:val="%1.%2"/>
      <w:lvlJc w:val="left"/>
      <w:pPr>
        <w:ind w:left="720" w:hanging="720"/>
      </w:pPr>
      <w:rPr>
        <w:rFonts w:hint="default"/>
        <w:color w:val="003E71"/>
        <w:sz w:val="30"/>
      </w:rPr>
    </w:lvl>
    <w:lvl w:ilvl="2">
      <w:start w:val="1"/>
      <w:numFmt w:val="decimal"/>
      <w:lvlText w:val="%1.%2.%3"/>
      <w:lvlJc w:val="left"/>
      <w:pPr>
        <w:ind w:left="720" w:hanging="720"/>
      </w:pPr>
      <w:rPr>
        <w:rFonts w:hint="default"/>
        <w:color w:val="003E71"/>
        <w:sz w:val="30"/>
      </w:rPr>
    </w:lvl>
    <w:lvl w:ilvl="3">
      <w:start w:val="1"/>
      <w:numFmt w:val="decimal"/>
      <w:lvlText w:val="%1.%2.%3.%4"/>
      <w:lvlJc w:val="left"/>
      <w:pPr>
        <w:ind w:left="1080" w:hanging="1080"/>
      </w:pPr>
      <w:rPr>
        <w:rFonts w:hint="default"/>
        <w:color w:val="003E71"/>
        <w:sz w:val="30"/>
      </w:rPr>
    </w:lvl>
    <w:lvl w:ilvl="4">
      <w:start w:val="1"/>
      <w:numFmt w:val="decimal"/>
      <w:lvlText w:val="%1.%2.%3.%4.%5"/>
      <w:lvlJc w:val="left"/>
      <w:pPr>
        <w:ind w:left="1440" w:hanging="1440"/>
      </w:pPr>
      <w:rPr>
        <w:rFonts w:hint="default"/>
        <w:color w:val="003E71"/>
        <w:sz w:val="30"/>
      </w:rPr>
    </w:lvl>
    <w:lvl w:ilvl="5">
      <w:start w:val="1"/>
      <w:numFmt w:val="decimal"/>
      <w:lvlText w:val="%1.%2.%3.%4.%5.%6"/>
      <w:lvlJc w:val="left"/>
      <w:pPr>
        <w:ind w:left="1440" w:hanging="1440"/>
      </w:pPr>
      <w:rPr>
        <w:rFonts w:hint="default"/>
        <w:color w:val="003E71"/>
        <w:sz w:val="30"/>
      </w:rPr>
    </w:lvl>
    <w:lvl w:ilvl="6">
      <w:start w:val="1"/>
      <w:numFmt w:val="decimal"/>
      <w:lvlText w:val="%1.%2.%3.%4.%5.%6.%7"/>
      <w:lvlJc w:val="left"/>
      <w:pPr>
        <w:ind w:left="1800" w:hanging="1800"/>
      </w:pPr>
      <w:rPr>
        <w:rFonts w:hint="default"/>
        <w:color w:val="003E71"/>
        <w:sz w:val="30"/>
      </w:rPr>
    </w:lvl>
    <w:lvl w:ilvl="7">
      <w:start w:val="1"/>
      <w:numFmt w:val="decimal"/>
      <w:lvlText w:val="%1.%2.%3.%4.%5.%6.%7.%8"/>
      <w:lvlJc w:val="left"/>
      <w:pPr>
        <w:ind w:left="1800" w:hanging="1800"/>
      </w:pPr>
      <w:rPr>
        <w:rFonts w:hint="default"/>
        <w:color w:val="003E71"/>
        <w:sz w:val="30"/>
      </w:rPr>
    </w:lvl>
    <w:lvl w:ilvl="8">
      <w:start w:val="1"/>
      <w:numFmt w:val="decimal"/>
      <w:lvlText w:val="%1.%2.%3.%4.%5.%6.%7.%8.%9"/>
      <w:lvlJc w:val="left"/>
      <w:pPr>
        <w:ind w:left="2160" w:hanging="2160"/>
      </w:pPr>
      <w:rPr>
        <w:rFonts w:hint="default"/>
        <w:color w:val="003E71"/>
        <w:sz w:val="30"/>
      </w:rPr>
    </w:lvl>
  </w:abstractNum>
  <w:abstractNum w:abstractNumId="20" w15:restartNumberingAfterBreak="0">
    <w:nsid w:val="6BB66C78"/>
    <w:multiLevelType w:val="hybridMultilevel"/>
    <w:tmpl w:val="16DA12C4"/>
    <w:lvl w:ilvl="0" w:tplc="3D067252">
      <w:numFmt w:val="bullet"/>
      <w:lvlText w:val="•"/>
      <w:lvlJc w:val="left"/>
      <w:pPr>
        <w:ind w:left="866" w:hanging="360"/>
      </w:pPr>
      <w:rPr>
        <w:rFonts w:ascii="Arial" w:eastAsia="Arial" w:hAnsi="Arial" w:cs="Arial" w:hint="default"/>
        <w:b w:val="0"/>
        <w:bCs w:val="0"/>
        <w:i w:val="0"/>
        <w:iCs w:val="0"/>
        <w:w w:val="131"/>
        <w:sz w:val="22"/>
        <w:szCs w:val="22"/>
        <w:lang w:val="en-US" w:eastAsia="en-US" w:bidi="ar-SA"/>
      </w:rPr>
    </w:lvl>
    <w:lvl w:ilvl="1" w:tplc="398E68FA">
      <w:numFmt w:val="bullet"/>
      <w:lvlText w:val="•"/>
      <w:lvlJc w:val="left"/>
      <w:pPr>
        <w:ind w:left="1847" w:hanging="360"/>
      </w:pPr>
      <w:rPr>
        <w:rFonts w:hint="default"/>
        <w:lang w:val="en-US" w:eastAsia="en-US" w:bidi="ar-SA"/>
      </w:rPr>
    </w:lvl>
    <w:lvl w:ilvl="2" w:tplc="D80E35C2">
      <w:numFmt w:val="bullet"/>
      <w:lvlText w:val="•"/>
      <w:lvlJc w:val="left"/>
      <w:pPr>
        <w:ind w:left="2835" w:hanging="360"/>
      </w:pPr>
      <w:rPr>
        <w:rFonts w:hint="default"/>
        <w:lang w:val="en-US" w:eastAsia="en-US" w:bidi="ar-SA"/>
      </w:rPr>
    </w:lvl>
    <w:lvl w:ilvl="3" w:tplc="B74A2D7C">
      <w:numFmt w:val="bullet"/>
      <w:lvlText w:val="•"/>
      <w:lvlJc w:val="left"/>
      <w:pPr>
        <w:ind w:left="3823" w:hanging="360"/>
      </w:pPr>
      <w:rPr>
        <w:rFonts w:hint="default"/>
        <w:lang w:val="en-US" w:eastAsia="en-US" w:bidi="ar-SA"/>
      </w:rPr>
    </w:lvl>
    <w:lvl w:ilvl="4" w:tplc="600E7C98">
      <w:numFmt w:val="bullet"/>
      <w:lvlText w:val="•"/>
      <w:lvlJc w:val="left"/>
      <w:pPr>
        <w:ind w:left="4811" w:hanging="360"/>
      </w:pPr>
      <w:rPr>
        <w:rFonts w:hint="default"/>
        <w:lang w:val="en-US" w:eastAsia="en-US" w:bidi="ar-SA"/>
      </w:rPr>
    </w:lvl>
    <w:lvl w:ilvl="5" w:tplc="5164C254">
      <w:numFmt w:val="bullet"/>
      <w:lvlText w:val="•"/>
      <w:lvlJc w:val="left"/>
      <w:pPr>
        <w:ind w:left="5799" w:hanging="360"/>
      </w:pPr>
      <w:rPr>
        <w:rFonts w:hint="default"/>
        <w:lang w:val="en-US" w:eastAsia="en-US" w:bidi="ar-SA"/>
      </w:rPr>
    </w:lvl>
    <w:lvl w:ilvl="6" w:tplc="A81EF854">
      <w:numFmt w:val="bullet"/>
      <w:lvlText w:val="•"/>
      <w:lvlJc w:val="left"/>
      <w:pPr>
        <w:ind w:left="6787" w:hanging="360"/>
      </w:pPr>
      <w:rPr>
        <w:rFonts w:hint="default"/>
        <w:lang w:val="en-US" w:eastAsia="en-US" w:bidi="ar-SA"/>
      </w:rPr>
    </w:lvl>
    <w:lvl w:ilvl="7" w:tplc="4CB08D32">
      <w:numFmt w:val="bullet"/>
      <w:lvlText w:val="•"/>
      <w:lvlJc w:val="left"/>
      <w:pPr>
        <w:ind w:left="7775" w:hanging="360"/>
      </w:pPr>
      <w:rPr>
        <w:rFonts w:hint="default"/>
        <w:lang w:val="en-US" w:eastAsia="en-US" w:bidi="ar-SA"/>
      </w:rPr>
    </w:lvl>
    <w:lvl w:ilvl="8" w:tplc="2CDA2B7A">
      <w:numFmt w:val="bullet"/>
      <w:lvlText w:val="•"/>
      <w:lvlJc w:val="left"/>
      <w:pPr>
        <w:ind w:left="8763" w:hanging="360"/>
      </w:pPr>
      <w:rPr>
        <w:rFonts w:hint="default"/>
        <w:lang w:val="en-US" w:eastAsia="en-US" w:bidi="ar-SA"/>
      </w:rPr>
    </w:lvl>
  </w:abstractNum>
  <w:abstractNum w:abstractNumId="21" w15:restartNumberingAfterBreak="0">
    <w:nsid w:val="6C084C5E"/>
    <w:multiLevelType w:val="hybridMultilevel"/>
    <w:tmpl w:val="0660C9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4996F35"/>
    <w:multiLevelType w:val="hybridMultilevel"/>
    <w:tmpl w:val="0ED2F522"/>
    <w:lvl w:ilvl="0" w:tplc="AD40F472">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1" w:tplc="4A2E4B60">
      <w:numFmt w:val="bullet"/>
      <w:lvlText w:val="•"/>
      <w:lvlJc w:val="left"/>
      <w:pPr>
        <w:ind w:left="1847" w:hanging="360"/>
      </w:pPr>
      <w:rPr>
        <w:rFonts w:hint="default"/>
        <w:lang w:val="en-US" w:eastAsia="en-US" w:bidi="ar-SA"/>
      </w:rPr>
    </w:lvl>
    <w:lvl w:ilvl="2" w:tplc="15000786">
      <w:numFmt w:val="bullet"/>
      <w:lvlText w:val="•"/>
      <w:lvlJc w:val="left"/>
      <w:pPr>
        <w:ind w:left="2835" w:hanging="360"/>
      </w:pPr>
      <w:rPr>
        <w:rFonts w:hint="default"/>
        <w:lang w:val="en-US" w:eastAsia="en-US" w:bidi="ar-SA"/>
      </w:rPr>
    </w:lvl>
    <w:lvl w:ilvl="3" w:tplc="F4666C6C">
      <w:numFmt w:val="bullet"/>
      <w:lvlText w:val="•"/>
      <w:lvlJc w:val="left"/>
      <w:pPr>
        <w:ind w:left="3823" w:hanging="360"/>
      </w:pPr>
      <w:rPr>
        <w:rFonts w:hint="default"/>
        <w:lang w:val="en-US" w:eastAsia="en-US" w:bidi="ar-SA"/>
      </w:rPr>
    </w:lvl>
    <w:lvl w:ilvl="4" w:tplc="FAA08634">
      <w:numFmt w:val="bullet"/>
      <w:lvlText w:val="•"/>
      <w:lvlJc w:val="left"/>
      <w:pPr>
        <w:ind w:left="4811" w:hanging="360"/>
      </w:pPr>
      <w:rPr>
        <w:rFonts w:hint="default"/>
        <w:lang w:val="en-US" w:eastAsia="en-US" w:bidi="ar-SA"/>
      </w:rPr>
    </w:lvl>
    <w:lvl w:ilvl="5" w:tplc="0E623D30">
      <w:numFmt w:val="bullet"/>
      <w:lvlText w:val="•"/>
      <w:lvlJc w:val="left"/>
      <w:pPr>
        <w:ind w:left="5799" w:hanging="360"/>
      </w:pPr>
      <w:rPr>
        <w:rFonts w:hint="default"/>
        <w:lang w:val="en-US" w:eastAsia="en-US" w:bidi="ar-SA"/>
      </w:rPr>
    </w:lvl>
    <w:lvl w:ilvl="6" w:tplc="EF6C9CE0">
      <w:numFmt w:val="bullet"/>
      <w:lvlText w:val="•"/>
      <w:lvlJc w:val="left"/>
      <w:pPr>
        <w:ind w:left="6787" w:hanging="360"/>
      </w:pPr>
      <w:rPr>
        <w:rFonts w:hint="default"/>
        <w:lang w:val="en-US" w:eastAsia="en-US" w:bidi="ar-SA"/>
      </w:rPr>
    </w:lvl>
    <w:lvl w:ilvl="7" w:tplc="DDF47050">
      <w:numFmt w:val="bullet"/>
      <w:lvlText w:val="•"/>
      <w:lvlJc w:val="left"/>
      <w:pPr>
        <w:ind w:left="7775" w:hanging="360"/>
      </w:pPr>
      <w:rPr>
        <w:rFonts w:hint="default"/>
        <w:lang w:val="en-US" w:eastAsia="en-US" w:bidi="ar-SA"/>
      </w:rPr>
    </w:lvl>
    <w:lvl w:ilvl="8" w:tplc="24647F6C">
      <w:numFmt w:val="bullet"/>
      <w:lvlText w:val="•"/>
      <w:lvlJc w:val="left"/>
      <w:pPr>
        <w:ind w:left="8763" w:hanging="360"/>
      </w:pPr>
      <w:rPr>
        <w:rFonts w:hint="default"/>
        <w:lang w:val="en-US" w:eastAsia="en-US" w:bidi="ar-SA"/>
      </w:rPr>
    </w:lvl>
  </w:abstractNum>
  <w:abstractNum w:abstractNumId="23" w15:restartNumberingAfterBreak="0">
    <w:nsid w:val="7F0D76DB"/>
    <w:multiLevelType w:val="hybridMultilevel"/>
    <w:tmpl w:val="0C7A251E"/>
    <w:lvl w:ilvl="0" w:tplc="552020FC">
      <w:start w:val="1"/>
      <w:numFmt w:val="lowerLetter"/>
      <w:lvlText w:val="%1)"/>
      <w:lvlJc w:val="left"/>
      <w:pPr>
        <w:ind w:left="866" w:hanging="360"/>
      </w:pPr>
      <w:rPr>
        <w:rFonts w:ascii="VIC" w:eastAsia="VIC" w:hAnsi="VIC" w:cs="VIC" w:hint="default"/>
        <w:b w:val="0"/>
        <w:bCs w:val="0"/>
        <w:i w:val="0"/>
        <w:iCs w:val="0"/>
        <w:spacing w:val="0"/>
        <w:w w:val="100"/>
        <w:sz w:val="22"/>
        <w:szCs w:val="22"/>
        <w:lang w:val="en-US" w:eastAsia="en-US" w:bidi="ar-SA"/>
      </w:rPr>
    </w:lvl>
    <w:lvl w:ilvl="1" w:tplc="A3E4F21E">
      <w:numFmt w:val="bullet"/>
      <w:lvlText w:val="o"/>
      <w:lvlJc w:val="left"/>
      <w:pPr>
        <w:ind w:left="1587" w:hanging="361"/>
      </w:pPr>
      <w:rPr>
        <w:rFonts w:ascii="Courier New" w:eastAsia="Courier New" w:hAnsi="Courier New" w:cs="Courier New" w:hint="default"/>
        <w:b w:val="0"/>
        <w:bCs w:val="0"/>
        <w:i w:val="0"/>
        <w:iCs w:val="0"/>
        <w:w w:val="100"/>
        <w:sz w:val="22"/>
        <w:szCs w:val="22"/>
        <w:lang w:val="en-US" w:eastAsia="en-US" w:bidi="ar-SA"/>
      </w:rPr>
    </w:lvl>
    <w:lvl w:ilvl="2" w:tplc="1FD0E3F6">
      <w:numFmt w:val="bullet"/>
      <w:lvlText w:val="•"/>
      <w:lvlJc w:val="left"/>
      <w:pPr>
        <w:ind w:left="2597" w:hanging="361"/>
      </w:pPr>
      <w:rPr>
        <w:rFonts w:hint="default"/>
        <w:lang w:val="en-US" w:eastAsia="en-US" w:bidi="ar-SA"/>
      </w:rPr>
    </w:lvl>
    <w:lvl w:ilvl="3" w:tplc="05804F00">
      <w:numFmt w:val="bullet"/>
      <w:lvlText w:val="•"/>
      <w:lvlJc w:val="left"/>
      <w:pPr>
        <w:ind w:left="3615" w:hanging="361"/>
      </w:pPr>
      <w:rPr>
        <w:rFonts w:hint="default"/>
        <w:lang w:val="en-US" w:eastAsia="en-US" w:bidi="ar-SA"/>
      </w:rPr>
    </w:lvl>
    <w:lvl w:ilvl="4" w:tplc="449C6520">
      <w:numFmt w:val="bullet"/>
      <w:lvlText w:val="•"/>
      <w:lvlJc w:val="left"/>
      <w:pPr>
        <w:ind w:left="4633" w:hanging="361"/>
      </w:pPr>
      <w:rPr>
        <w:rFonts w:hint="default"/>
        <w:lang w:val="en-US" w:eastAsia="en-US" w:bidi="ar-SA"/>
      </w:rPr>
    </w:lvl>
    <w:lvl w:ilvl="5" w:tplc="0B1691D0">
      <w:numFmt w:val="bullet"/>
      <w:lvlText w:val="•"/>
      <w:lvlJc w:val="left"/>
      <w:pPr>
        <w:ind w:left="5650" w:hanging="361"/>
      </w:pPr>
      <w:rPr>
        <w:rFonts w:hint="default"/>
        <w:lang w:val="en-US" w:eastAsia="en-US" w:bidi="ar-SA"/>
      </w:rPr>
    </w:lvl>
    <w:lvl w:ilvl="6" w:tplc="46A478C8">
      <w:numFmt w:val="bullet"/>
      <w:lvlText w:val="•"/>
      <w:lvlJc w:val="left"/>
      <w:pPr>
        <w:ind w:left="6668" w:hanging="361"/>
      </w:pPr>
      <w:rPr>
        <w:rFonts w:hint="default"/>
        <w:lang w:val="en-US" w:eastAsia="en-US" w:bidi="ar-SA"/>
      </w:rPr>
    </w:lvl>
    <w:lvl w:ilvl="7" w:tplc="F7FE80D2">
      <w:numFmt w:val="bullet"/>
      <w:lvlText w:val="•"/>
      <w:lvlJc w:val="left"/>
      <w:pPr>
        <w:ind w:left="7686" w:hanging="361"/>
      </w:pPr>
      <w:rPr>
        <w:rFonts w:hint="default"/>
        <w:lang w:val="en-US" w:eastAsia="en-US" w:bidi="ar-SA"/>
      </w:rPr>
    </w:lvl>
    <w:lvl w:ilvl="8" w:tplc="568A7C44">
      <w:numFmt w:val="bullet"/>
      <w:lvlText w:val="•"/>
      <w:lvlJc w:val="left"/>
      <w:pPr>
        <w:ind w:left="8703" w:hanging="361"/>
      </w:pPr>
      <w:rPr>
        <w:rFonts w:hint="default"/>
        <w:lang w:val="en-US" w:eastAsia="en-US" w:bidi="ar-SA"/>
      </w:rPr>
    </w:lvl>
  </w:abstractNum>
  <w:num w:numId="1" w16cid:durableId="1374302692">
    <w:abstractNumId w:val="11"/>
  </w:num>
  <w:num w:numId="2" w16cid:durableId="26108194">
    <w:abstractNumId w:val="15"/>
  </w:num>
  <w:num w:numId="3" w16cid:durableId="745304457">
    <w:abstractNumId w:val="18"/>
  </w:num>
  <w:num w:numId="4" w16cid:durableId="1795707519">
    <w:abstractNumId w:val="17"/>
  </w:num>
  <w:num w:numId="5" w16cid:durableId="432093845">
    <w:abstractNumId w:val="16"/>
  </w:num>
  <w:num w:numId="6" w16cid:durableId="575631131">
    <w:abstractNumId w:val="23"/>
  </w:num>
  <w:num w:numId="7" w16cid:durableId="608659890">
    <w:abstractNumId w:val="10"/>
  </w:num>
  <w:num w:numId="8" w16cid:durableId="321198446">
    <w:abstractNumId w:val="7"/>
  </w:num>
  <w:num w:numId="9" w16cid:durableId="1291084810">
    <w:abstractNumId w:val="22"/>
  </w:num>
  <w:num w:numId="10" w16cid:durableId="284774280">
    <w:abstractNumId w:val="0"/>
  </w:num>
  <w:num w:numId="11" w16cid:durableId="1793668890">
    <w:abstractNumId w:val="9"/>
  </w:num>
  <w:num w:numId="12" w16cid:durableId="700738755">
    <w:abstractNumId w:val="20"/>
  </w:num>
  <w:num w:numId="13" w16cid:durableId="1290163458">
    <w:abstractNumId w:val="12"/>
  </w:num>
  <w:num w:numId="14" w16cid:durableId="1890535924">
    <w:abstractNumId w:val="8"/>
  </w:num>
  <w:num w:numId="15" w16cid:durableId="1203395863">
    <w:abstractNumId w:val="3"/>
  </w:num>
  <w:num w:numId="16" w16cid:durableId="1366710070">
    <w:abstractNumId w:val="5"/>
  </w:num>
  <w:num w:numId="17" w16cid:durableId="1673945522">
    <w:abstractNumId w:val="4"/>
  </w:num>
  <w:num w:numId="18" w16cid:durableId="1965429859">
    <w:abstractNumId w:val="6"/>
  </w:num>
  <w:num w:numId="19" w16cid:durableId="629091696">
    <w:abstractNumId w:val="13"/>
  </w:num>
  <w:num w:numId="20" w16cid:durableId="152721442">
    <w:abstractNumId w:val="21"/>
  </w:num>
  <w:num w:numId="21" w16cid:durableId="1438410245">
    <w:abstractNumId w:val="2"/>
  </w:num>
  <w:num w:numId="22" w16cid:durableId="2113042908">
    <w:abstractNumId w:val="14"/>
  </w:num>
  <w:num w:numId="23" w16cid:durableId="1045258026">
    <w:abstractNumId w:val="1"/>
  </w:num>
  <w:num w:numId="24" w16cid:durableId="21080337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CBB"/>
    <w:rsid w:val="00002E15"/>
    <w:rsid w:val="00010FA6"/>
    <w:rsid w:val="000170D7"/>
    <w:rsid w:val="00021C8F"/>
    <w:rsid w:val="00022E45"/>
    <w:rsid w:val="00041EE1"/>
    <w:rsid w:val="0004281B"/>
    <w:rsid w:val="00046F2B"/>
    <w:rsid w:val="00075C90"/>
    <w:rsid w:val="000A0B23"/>
    <w:rsid w:val="000A51DC"/>
    <w:rsid w:val="000B09F3"/>
    <w:rsid w:val="000B2084"/>
    <w:rsid w:val="000B55DC"/>
    <w:rsid w:val="000E4751"/>
    <w:rsid w:val="000F385E"/>
    <w:rsid w:val="001200DE"/>
    <w:rsid w:val="001324F3"/>
    <w:rsid w:val="00143FA9"/>
    <w:rsid w:val="00166B4A"/>
    <w:rsid w:val="001B1BD1"/>
    <w:rsid w:val="001B403E"/>
    <w:rsid w:val="001E1704"/>
    <w:rsid w:val="00212E99"/>
    <w:rsid w:val="00234D15"/>
    <w:rsid w:val="00265E03"/>
    <w:rsid w:val="0027147C"/>
    <w:rsid w:val="00284CBB"/>
    <w:rsid w:val="00287A01"/>
    <w:rsid w:val="002A4B07"/>
    <w:rsid w:val="002A76DC"/>
    <w:rsid w:val="002D7699"/>
    <w:rsid w:val="002F08C9"/>
    <w:rsid w:val="00325A2A"/>
    <w:rsid w:val="003434AA"/>
    <w:rsid w:val="00347EA5"/>
    <w:rsid w:val="003A4964"/>
    <w:rsid w:val="003A5B3E"/>
    <w:rsid w:val="003C585B"/>
    <w:rsid w:val="003C610A"/>
    <w:rsid w:val="003D3ADF"/>
    <w:rsid w:val="003E5508"/>
    <w:rsid w:val="003E5D0E"/>
    <w:rsid w:val="003F2289"/>
    <w:rsid w:val="00403188"/>
    <w:rsid w:val="004314A4"/>
    <w:rsid w:val="00435653"/>
    <w:rsid w:val="004446A8"/>
    <w:rsid w:val="00452228"/>
    <w:rsid w:val="004531B3"/>
    <w:rsid w:val="004751A4"/>
    <w:rsid w:val="004B428C"/>
    <w:rsid w:val="004D18E0"/>
    <w:rsid w:val="004E3480"/>
    <w:rsid w:val="00507E3B"/>
    <w:rsid w:val="00517DF7"/>
    <w:rsid w:val="00525522"/>
    <w:rsid w:val="005675FD"/>
    <w:rsid w:val="00572CA7"/>
    <w:rsid w:val="00587F2A"/>
    <w:rsid w:val="00594A97"/>
    <w:rsid w:val="005A0802"/>
    <w:rsid w:val="005A2AD6"/>
    <w:rsid w:val="005E51B5"/>
    <w:rsid w:val="0062553E"/>
    <w:rsid w:val="00630627"/>
    <w:rsid w:val="00634941"/>
    <w:rsid w:val="00641A27"/>
    <w:rsid w:val="006753F0"/>
    <w:rsid w:val="00680894"/>
    <w:rsid w:val="0068538E"/>
    <w:rsid w:val="006B02DF"/>
    <w:rsid w:val="006D4D81"/>
    <w:rsid w:val="00702A76"/>
    <w:rsid w:val="007129B9"/>
    <w:rsid w:val="0073536D"/>
    <w:rsid w:val="0074238F"/>
    <w:rsid w:val="00742582"/>
    <w:rsid w:val="00760FC7"/>
    <w:rsid w:val="0079361E"/>
    <w:rsid w:val="007B3A31"/>
    <w:rsid w:val="007C11D0"/>
    <w:rsid w:val="007C52CF"/>
    <w:rsid w:val="007F4048"/>
    <w:rsid w:val="00832DC0"/>
    <w:rsid w:val="00837A6A"/>
    <w:rsid w:val="008447A3"/>
    <w:rsid w:val="00862100"/>
    <w:rsid w:val="00886624"/>
    <w:rsid w:val="008B1A69"/>
    <w:rsid w:val="008B6479"/>
    <w:rsid w:val="00903E53"/>
    <w:rsid w:val="009065BD"/>
    <w:rsid w:val="00925765"/>
    <w:rsid w:val="009257AF"/>
    <w:rsid w:val="00927E13"/>
    <w:rsid w:val="00961B1F"/>
    <w:rsid w:val="00980074"/>
    <w:rsid w:val="009815E4"/>
    <w:rsid w:val="009F3D3F"/>
    <w:rsid w:val="009F47DD"/>
    <w:rsid w:val="009F6FE1"/>
    <w:rsid w:val="00A176AD"/>
    <w:rsid w:val="00AA326E"/>
    <w:rsid w:val="00AC32CD"/>
    <w:rsid w:val="00AE1996"/>
    <w:rsid w:val="00B44516"/>
    <w:rsid w:val="00B53EE6"/>
    <w:rsid w:val="00B60AD1"/>
    <w:rsid w:val="00B63689"/>
    <w:rsid w:val="00B67DB2"/>
    <w:rsid w:val="00B72D75"/>
    <w:rsid w:val="00B80E85"/>
    <w:rsid w:val="00BB6AF7"/>
    <w:rsid w:val="00BE2D3E"/>
    <w:rsid w:val="00C00CA9"/>
    <w:rsid w:val="00C21990"/>
    <w:rsid w:val="00C42B88"/>
    <w:rsid w:val="00C42D7D"/>
    <w:rsid w:val="00C46389"/>
    <w:rsid w:val="00C514F7"/>
    <w:rsid w:val="00C51C0C"/>
    <w:rsid w:val="00C874A5"/>
    <w:rsid w:val="00C906D7"/>
    <w:rsid w:val="00CB7FC0"/>
    <w:rsid w:val="00CE028F"/>
    <w:rsid w:val="00D02D53"/>
    <w:rsid w:val="00D04913"/>
    <w:rsid w:val="00D15334"/>
    <w:rsid w:val="00D32069"/>
    <w:rsid w:val="00D52238"/>
    <w:rsid w:val="00D5480E"/>
    <w:rsid w:val="00D63138"/>
    <w:rsid w:val="00DB32A0"/>
    <w:rsid w:val="00DC773F"/>
    <w:rsid w:val="00E20996"/>
    <w:rsid w:val="00E33788"/>
    <w:rsid w:val="00E4085A"/>
    <w:rsid w:val="00E55C2E"/>
    <w:rsid w:val="00E76931"/>
    <w:rsid w:val="00ED6784"/>
    <w:rsid w:val="00EE6886"/>
    <w:rsid w:val="00F005EC"/>
    <w:rsid w:val="00F0105C"/>
    <w:rsid w:val="00F724BD"/>
    <w:rsid w:val="00F73919"/>
    <w:rsid w:val="00F8164C"/>
    <w:rsid w:val="00F835D3"/>
    <w:rsid w:val="00F84284"/>
    <w:rsid w:val="00FA5A68"/>
    <w:rsid w:val="00FA63E7"/>
    <w:rsid w:val="00FC09A1"/>
    <w:rsid w:val="00FD3406"/>
    <w:rsid w:val="00FF0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CF0FF"/>
  <w15:chartTrackingRefBased/>
  <w15:docId w15:val="{2D02C7F2-EC51-4048-A27B-329F09C8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AD1"/>
    <w:pPr>
      <w:spacing w:after="120"/>
    </w:pPr>
    <w:rPr>
      <w:rFonts w:ascii="VIC" w:hAnsi="VIC" w:cs="Arial"/>
      <w:sz w:val="20"/>
      <w:szCs w:val="20"/>
      <w:lang w:eastAsia="en-AU"/>
    </w:rPr>
  </w:style>
  <w:style w:type="paragraph" w:styleId="Heading1">
    <w:name w:val="heading 1"/>
    <w:basedOn w:val="Normal"/>
    <w:next w:val="Normal"/>
    <w:link w:val="Heading1Char"/>
    <w:uiPriority w:val="9"/>
    <w:qFormat/>
    <w:rsid w:val="00AE1996"/>
    <w:pPr>
      <w:keepNext/>
      <w:keepLines/>
      <w:spacing w:before="240" w:after="24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AE1996"/>
    <w:pPr>
      <w:keepNext/>
      <w:keepLines/>
      <w:spacing w:before="120"/>
      <w:outlineLvl w:val="1"/>
    </w:pPr>
    <w:rPr>
      <w:rFonts w:eastAsiaTheme="majorEastAsia" w:cs="Times New Roman (Headings CS)"/>
      <w:color w:val="005FB4"/>
      <w:sz w:val="26"/>
      <w:szCs w:val="26"/>
    </w:rPr>
  </w:style>
  <w:style w:type="paragraph" w:styleId="Heading3">
    <w:name w:val="heading 3"/>
    <w:basedOn w:val="Normal"/>
    <w:next w:val="Normal"/>
    <w:link w:val="Heading3Char"/>
    <w:uiPriority w:val="9"/>
    <w:unhideWhenUsed/>
    <w:qFormat/>
    <w:rsid w:val="003E5D0E"/>
    <w:pPr>
      <w:keepNext/>
      <w:keepLines/>
      <w:spacing w:before="40"/>
      <w:outlineLvl w:val="2"/>
    </w:pPr>
    <w:rPr>
      <w:rFonts w:eastAsiaTheme="majorEastAsia" w:cstheme="majorBidi"/>
      <w:color w:val="005FB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next w:val="Normal"/>
    <w:autoRedefine/>
    <w:uiPriority w:val="5"/>
    <w:qFormat/>
    <w:rsid w:val="00B60AD1"/>
    <w:rPr>
      <w:rFonts w:ascii="VIC" w:hAnsi="VIC" w:cs="Arial"/>
      <w:color w:val="0A3C73"/>
      <w:sz w:val="20"/>
      <w:szCs w:val="16"/>
      <w:lang w:bidi="he-IL"/>
    </w:rPr>
  </w:style>
  <w:style w:type="paragraph" w:styleId="BodyText">
    <w:name w:val="Body Text"/>
    <w:basedOn w:val="Normal"/>
    <w:link w:val="BodyTextChar"/>
    <w:uiPriority w:val="1"/>
    <w:qFormat/>
    <w:rsid w:val="00E76931"/>
    <w:pPr>
      <w:widowControl w:val="0"/>
      <w:autoSpaceDE w:val="0"/>
      <w:autoSpaceDN w:val="0"/>
      <w:spacing w:after="0"/>
    </w:pPr>
    <w:rPr>
      <w:rFonts w:eastAsia="VIC" w:cs="VIC"/>
      <w:szCs w:val="22"/>
      <w:lang w:val="en-US" w:eastAsia="en-US"/>
    </w:rPr>
  </w:style>
  <w:style w:type="character" w:customStyle="1" w:styleId="BodyTextChar">
    <w:name w:val="Body Text Char"/>
    <w:basedOn w:val="DefaultParagraphFont"/>
    <w:link w:val="BodyText"/>
    <w:uiPriority w:val="1"/>
    <w:rsid w:val="00E76931"/>
    <w:rPr>
      <w:rFonts w:ascii="VIC" w:eastAsia="VIC" w:hAnsi="VIC" w:cs="VIC"/>
      <w:sz w:val="20"/>
      <w:szCs w:val="22"/>
      <w:lang w:val="en-US"/>
    </w:rPr>
  </w:style>
  <w:style w:type="paragraph" w:styleId="NoSpacing">
    <w:name w:val="No Spacing"/>
    <w:link w:val="NoSpacingChar"/>
    <w:uiPriority w:val="1"/>
    <w:qFormat/>
    <w:rsid w:val="00E76931"/>
    <w:rPr>
      <w:rFonts w:ascii="VIC" w:eastAsiaTheme="minorEastAsia" w:hAnsi="VIC"/>
      <w:sz w:val="20"/>
      <w:szCs w:val="22"/>
      <w:lang w:val="en-US" w:eastAsia="zh-CN"/>
    </w:rPr>
  </w:style>
  <w:style w:type="character" w:customStyle="1" w:styleId="NoSpacingChar">
    <w:name w:val="No Spacing Char"/>
    <w:basedOn w:val="DefaultParagraphFont"/>
    <w:link w:val="NoSpacing"/>
    <w:uiPriority w:val="1"/>
    <w:rsid w:val="00E76931"/>
    <w:rPr>
      <w:rFonts w:ascii="VIC" w:eastAsiaTheme="minorEastAsia" w:hAnsi="VIC"/>
      <w:sz w:val="20"/>
      <w:szCs w:val="22"/>
      <w:lang w:val="en-US" w:eastAsia="zh-CN"/>
    </w:rPr>
  </w:style>
  <w:style w:type="paragraph" w:styleId="Header">
    <w:name w:val="header"/>
    <w:aliases w:val="Disclaimer"/>
    <w:basedOn w:val="Normal"/>
    <w:link w:val="HeaderChar"/>
    <w:uiPriority w:val="99"/>
    <w:unhideWhenUsed/>
    <w:rsid w:val="00FD3406"/>
    <w:pPr>
      <w:tabs>
        <w:tab w:val="center" w:pos="4513"/>
        <w:tab w:val="right" w:pos="9026"/>
      </w:tabs>
      <w:spacing w:after="0"/>
    </w:pPr>
    <w:rPr>
      <w:color w:val="595959" w:themeColor="text1" w:themeTint="A6"/>
      <w:sz w:val="16"/>
    </w:rPr>
  </w:style>
  <w:style w:type="character" w:customStyle="1" w:styleId="HeaderChar">
    <w:name w:val="Header Char"/>
    <w:aliases w:val="Disclaimer Char"/>
    <w:basedOn w:val="DefaultParagraphFont"/>
    <w:link w:val="Header"/>
    <w:uiPriority w:val="99"/>
    <w:rsid w:val="00FD3406"/>
    <w:rPr>
      <w:rFonts w:ascii="VIC" w:hAnsi="VIC" w:cs="Arial"/>
      <w:color w:val="595959" w:themeColor="text1" w:themeTint="A6"/>
      <w:sz w:val="16"/>
      <w:szCs w:val="20"/>
      <w:lang w:eastAsia="en-AU"/>
    </w:rPr>
  </w:style>
  <w:style w:type="paragraph" w:styleId="Footer">
    <w:name w:val="footer"/>
    <w:basedOn w:val="Normal"/>
    <w:link w:val="FooterChar"/>
    <w:uiPriority w:val="99"/>
    <w:unhideWhenUsed/>
    <w:rsid w:val="00FD3406"/>
    <w:pPr>
      <w:tabs>
        <w:tab w:val="center" w:pos="4513"/>
        <w:tab w:val="right" w:pos="9026"/>
      </w:tabs>
      <w:spacing w:before="240" w:after="240"/>
    </w:pPr>
    <w:rPr>
      <w:color w:val="0A3C73"/>
      <w:sz w:val="16"/>
    </w:rPr>
  </w:style>
  <w:style w:type="character" w:customStyle="1" w:styleId="FooterChar">
    <w:name w:val="Footer Char"/>
    <w:basedOn w:val="DefaultParagraphFont"/>
    <w:link w:val="Footer"/>
    <w:uiPriority w:val="99"/>
    <w:rsid w:val="00FD3406"/>
    <w:rPr>
      <w:rFonts w:ascii="VIC" w:hAnsi="VIC" w:cs="Arial"/>
      <w:color w:val="0A3C73"/>
      <w:sz w:val="16"/>
      <w:szCs w:val="20"/>
      <w:lang w:eastAsia="en-AU"/>
    </w:rPr>
  </w:style>
  <w:style w:type="character" w:customStyle="1" w:styleId="FootertextChar">
    <w:name w:val="Footer text Char"/>
    <w:basedOn w:val="FooterChar"/>
    <w:link w:val="Footertext"/>
    <w:locked/>
    <w:rsid w:val="00284CBB"/>
    <w:rPr>
      <w:rFonts w:ascii="VIC" w:eastAsia="VIC" w:hAnsi="VIC" w:cs="VIC"/>
      <w:color w:val="0A3C73"/>
      <w:sz w:val="16"/>
      <w:szCs w:val="20"/>
      <w:lang w:eastAsia="en-AU" w:bidi="he-IL"/>
    </w:rPr>
  </w:style>
  <w:style w:type="paragraph" w:customStyle="1" w:styleId="Footertext">
    <w:name w:val="Footer text"/>
    <w:basedOn w:val="Footer"/>
    <w:link w:val="FootertextChar"/>
    <w:qFormat/>
    <w:rsid w:val="00284CBB"/>
    <w:pPr>
      <w:tabs>
        <w:tab w:val="clear" w:pos="4513"/>
        <w:tab w:val="clear" w:pos="9026"/>
        <w:tab w:val="center" w:pos="4680"/>
        <w:tab w:val="right" w:pos="9360"/>
      </w:tabs>
    </w:pPr>
    <w:rPr>
      <w:rFonts w:eastAsia="VIC" w:cs="VIC"/>
      <w:lang w:eastAsia="en-US" w:bidi="he-IL"/>
    </w:rPr>
  </w:style>
  <w:style w:type="paragraph" w:styleId="Subtitle">
    <w:name w:val="Subtitle"/>
    <w:basedOn w:val="Normal"/>
    <w:next w:val="Normal"/>
    <w:link w:val="SubtitleChar"/>
    <w:uiPriority w:val="11"/>
    <w:qFormat/>
    <w:rsid w:val="004E3480"/>
    <w:pPr>
      <w:numPr>
        <w:ilvl w:val="1"/>
      </w:numPr>
      <w:spacing w:after="160"/>
      <w:jc w:val="right"/>
    </w:pPr>
    <w:rPr>
      <w:rFonts w:eastAsiaTheme="minorEastAsia" w:cs="Times New Roman (Body CS)"/>
      <w:color w:val="FFFFFF" w:themeColor="background1"/>
      <w:sz w:val="40"/>
      <w:szCs w:val="22"/>
    </w:rPr>
  </w:style>
  <w:style w:type="character" w:customStyle="1" w:styleId="SubtitleChar">
    <w:name w:val="Subtitle Char"/>
    <w:basedOn w:val="DefaultParagraphFont"/>
    <w:link w:val="Subtitle"/>
    <w:uiPriority w:val="11"/>
    <w:rsid w:val="004E3480"/>
    <w:rPr>
      <w:rFonts w:ascii="VIC" w:eastAsiaTheme="minorEastAsia" w:hAnsi="VIC" w:cs="Times New Roman (Body CS)"/>
      <w:color w:val="FFFFFF" w:themeColor="background1"/>
      <w:sz w:val="40"/>
      <w:szCs w:val="22"/>
      <w:lang w:eastAsia="en-AU"/>
    </w:rPr>
  </w:style>
  <w:style w:type="character" w:styleId="SubtleEmphasis">
    <w:name w:val="Subtle Emphasis"/>
    <w:basedOn w:val="DefaultParagraphFont"/>
    <w:uiPriority w:val="19"/>
    <w:qFormat/>
    <w:rsid w:val="00E76931"/>
    <w:rPr>
      <w:rFonts w:ascii="VIC" w:hAnsi="VIC"/>
      <w:b w:val="0"/>
      <w:i/>
      <w:iCs/>
      <w:color w:val="404040" w:themeColor="text1" w:themeTint="BF"/>
      <w:sz w:val="20"/>
    </w:rPr>
  </w:style>
  <w:style w:type="character" w:styleId="Emphasis">
    <w:name w:val="Emphasis"/>
    <w:basedOn w:val="DefaultParagraphFont"/>
    <w:uiPriority w:val="20"/>
    <w:qFormat/>
    <w:rsid w:val="00E76931"/>
    <w:rPr>
      <w:rFonts w:ascii="VIC" w:hAnsi="VIC"/>
      <w:b w:val="0"/>
      <w:i/>
      <w:iCs/>
      <w:sz w:val="20"/>
    </w:rPr>
  </w:style>
  <w:style w:type="character" w:styleId="IntenseEmphasis">
    <w:name w:val="Intense Emphasis"/>
    <w:basedOn w:val="DefaultParagraphFont"/>
    <w:uiPriority w:val="21"/>
    <w:qFormat/>
    <w:rsid w:val="00E76931"/>
    <w:rPr>
      <w:rFonts w:ascii="VIC" w:hAnsi="VIC"/>
      <w:b w:val="0"/>
      <w:i/>
      <w:iCs/>
      <w:color w:val="005FB4"/>
    </w:rPr>
  </w:style>
  <w:style w:type="character" w:styleId="Strong">
    <w:name w:val="Strong"/>
    <w:basedOn w:val="DefaultParagraphFont"/>
    <w:uiPriority w:val="22"/>
    <w:qFormat/>
    <w:rsid w:val="00E76931"/>
    <w:rPr>
      <w:rFonts w:ascii="VIC Medium Italic" w:hAnsi="VIC Medium Italic"/>
      <w:b w:val="0"/>
      <w:bCs/>
      <w:i/>
      <w:color w:val="005FB4"/>
      <w:sz w:val="20"/>
    </w:rPr>
  </w:style>
  <w:style w:type="paragraph" w:styleId="Quote">
    <w:name w:val="Quote"/>
    <w:basedOn w:val="Normal"/>
    <w:next w:val="Normal"/>
    <w:link w:val="QuoteChar"/>
    <w:uiPriority w:val="29"/>
    <w:qFormat/>
    <w:rsid w:val="00E76931"/>
    <w:pPr>
      <w:spacing w:before="200" w:after="160"/>
      <w:ind w:left="864" w:right="864"/>
      <w:jc w:val="center"/>
    </w:pPr>
    <w:rPr>
      <w:iCs/>
      <w:color w:val="005FB4"/>
    </w:rPr>
  </w:style>
  <w:style w:type="character" w:customStyle="1" w:styleId="QuoteChar">
    <w:name w:val="Quote Char"/>
    <w:basedOn w:val="DefaultParagraphFont"/>
    <w:link w:val="Quote"/>
    <w:uiPriority w:val="29"/>
    <w:rsid w:val="00E76931"/>
    <w:rPr>
      <w:rFonts w:ascii="VIC" w:hAnsi="VIC" w:cs="Arial"/>
      <w:iCs/>
      <w:color w:val="005FB4"/>
      <w:sz w:val="20"/>
      <w:szCs w:val="20"/>
      <w:lang w:eastAsia="en-AU"/>
    </w:rPr>
  </w:style>
  <w:style w:type="paragraph" w:styleId="IntenseQuote">
    <w:name w:val="Intense Quote"/>
    <w:basedOn w:val="Normal"/>
    <w:next w:val="Normal"/>
    <w:link w:val="IntenseQuoteChar"/>
    <w:uiPriority w:val="30"/>
    <w:qFormat/>
    <w:rsid w:val="00E76931"/>
    <w:pPr>
      <w:pBdr>
        <w:top w:val="single" w:sz="4" w:space="10" w:color="4472C4" w:themeColor="accent1"/>
        <w:bottom w:val="single" w:sz="4" w:space="10" w:color="4472C4" w:themeColor="accent1"/>
      </w:pBdr>
      <w:spacing w:before="360" w:after="360"/>
      <w:ind w:left="864" w:right="864"/>
      <w:jc w:val="center"/>
    </w:pPr>
    <w:rPr>
      <w:rFonts w:ascii="VIC Medium" w:hAnsi="VIC Medium"/>
      <w:iCs/>
      <w:color w:val="005FB4"/>
    </w:rPr>
  </w:style>
  <w:style w:type="character" w:customStyle="1" w:styleId="IntenseQuoteChar">
    <w:name w:val="Intense Quote Char"/>
    <w:basedOn w:val="DefaultParagraphFont"/>
    <w:link w:val="IntenseQuote"/>
    <w:uiPriority w:val="30"/>
    <w:rsid w:val="00E76931"/>
    <w:rPr>
      <w:rFonts w:ascii="VIC Medium" w:hAnsi="VIC Medium" w:cs="Arial"/>
      <w:iCs/>
      <w:color w:val="005FB4"/>
      <w:sz w:val="20"/>
      <w:szCs w:val="20"/>
      <w:lang w:eastAsia="en-AU"/>
    </w:rPr>
  </w:style>
  <w:style w:type="character" w:styleId="SubtleReference">
    <w:name w:val="Subtle Reference"/>
    <w:basedOn w:val="DefaultParagraphFont"/>
    <w:uiPriority w:val="31"/>
    <w:qFormat/>
    <w:rsid w:val="00E76931"/>
    <w:rPr>
      <w:rFonts w:ascii="VIC" w:hAnsi="VIC"/>
      <w:b w:val="0"/>
      <w:i w:val="0"/>
      <w:caps w:val="0"/>
      <w:smallCaps w:val="0"/>
      <w:color w:val="5A5A5A" w:themeColor="text1" w:themeTint="A5"/>
      <w:sz w:val="20"/>
    </w:rPr>
  </w:style>
  <w:style w:type="character" w:styleId="IntenseReference">
    <w:name w:val="Intense Reference"/>
    <w:basedOn w:val="DefaultParagraphFont"/>
    <w:uiPriority w:val="32"/>
    <w:qFormat/>
    <w:rsid w:val="00E76931"/>
    <w:rPr>
      <w:rFonts w:ascii="VIC Medium" w:hAnsi="VIC Medium"/>
      <w:b w:val="0"/>
      <w:bCs/>
      <w:i w:val="0"/>
      <w:caps w:val="0"/>
      <w:smallCaps w:val="0"/>
      <w:color w:val="005FB4"/>
      <w:spacing w:val="5"/>
      <w:sz w:val="20"/>
    </w:rPr>
  </w:style>
  <w:style w:type="character" w:styleId="BookTitle">
    <w:name w:val="Book Title"/>
    <w:basedOn w:val="DefaultParagraphFont"/>
    <w:uiPriority w:val="33"/>
    <w:qFormat/>
    <w:rsid w:val="00E76931"/>
    <w:rPr>
      <w:rFonts w:ascii="VIC Medium Italic" w:hAnsi="VIC Medium Italic"/>
      <w:b w:val="0"/>
      <w:bCs/>
      <w:i/>
      <w:iCs/>
      <w:color w:val="595959" w:themeColor="text1" w:themeTint="A6"/>
      <w:spacing w:val="5"/>
      <w:sz w:val="20"/>
    </w:rPr>
  </w:style>
  <w:style w:type="paragraph" w:styleId="ListParagraph">
    <w:name w:val="List Paragraph"/>
    <w:basedOn w:val="Normal"/>
    <w:uiPriority w:val="1"/>
    <w:qFormat/>
    <w:rsid w:val="00E76931"/>
    <w:pPr>
      <w:ind w:left="720"/>
      <w:contextualSpacing/>
    </w:pPr>
  </w:style>
  <w:style w:type="character" w:styleId="Hyperlink">
    <w:name w:val="Hyperlink"/>
    <w:basedOn w:val="DefaultParagraphFont"/>
    <w:uiPriority w:val="99"/>
    <w:unhideWhenUsed/>
    <w:rsid w:val="00F73919"/>
    <w:rPr>
      <w:rFonts w:ascii="VIC Medium" w:hAnsi="VIC Medium"/>
      <w:b w:val="0"/>
      <w:i w:val="0"/>
      <w:color w:val="0A3C73"/>
      <w:sz w:val="20"/>
      <w:u w:val="none"/>
    </w:rPr>
  </w:style>
  <w:style w:type="paragraph" w:styleId="TOC1">
    <w:name w:val="toc 1"/>
    <w:basedOn w:val="Normal"/>
    <w:uiPriority w:val="39"/>
    <w:qFormat/>
    <w:rsid w:val="00525522"/>
    <w:pPr>
      <w:widowControl w:val="0"/>
      <w:autoSpaceDE w:val="0"/>
      <w:autoSpaceDN w:val="0"/>
      <w:spacing w:before="120" w:after="0"/>
      <w:ind w:left="588" w:hanging="443"/>
    </w:pPr>
    <w:rPr>
      <w:rFonts w:ascii="VIC-Medium" w:eastAsia="VIC-Medium" w:hAnsi="VIC-Medium" w:cs="VIC-Medium"/>
      <w:color w:val="0A3C73"/>
      <w:szCs w:val="24"/>
      <w:lang w:val="en-US" w:eastAsia="en-US"/>
    </w:rPr>
  </w:style>
  <w:style w:type="paragraph" w:styleId="TOC2">
    <w:name w:val="toc 2"/>
    <w:basedOn w:val="Normal"/>
    <w:uiPriority w:val="39"/>
    <w:qFormat/>
    <w:rsid w:val="00525522"/>
    <w:pPr>
      <w:widowControl w:val="0"/>
      <w:autoSpaceDE w:val="0"/>
      <w:autoSpaceDN w:val="0"/>
      <w:spacing w:after="0"/>
      <w:ind w:left="1025" w:hanging="659"/>
    </w:pPr>
    <w:rPr>
      <w:rFonts w:ascii="VIC-Medium" w:eastAsia="VIC-Medium" w:hAnsi="VIC-Medium" w:cs="VIC-Medium"/>
      <w:color w:val="0A3C73"/>
      <w:szCs w:val="22"/>
      <w:lang w:val="en-US" w:eastAsia="en-US"/>
    </w:rPr>
  </w:style>
  <w:style w:type="paragraph" w:styleId="TOC3">
    <w:name w:val="toc 3"/>
    <w:basedOn w:val="Normal"/>
    <w:uiPriority w:val="39"/>
    <w:qFormat/>
    <w:rsid w:val="00525522"/>
    <w:pPr>
      <w:widowControl w:val="0"/>
      <w:autoSpaceDE w:val="0"/>
      <w:autoSpaceDN w:val="0"/>
      <w:spacing w:before="1" w:after="0"/>
      <w:ind w:left="1467" w:hanging="880"/>
    </w:pPr>
    <w:rPr>
      <w:rFonts w:ascii="VIC-Medium" w:eastAsia="VIC-Medium" w:hAnsi="VIC-Medium" w:cs="VIC-Medium"/>
      <w:color w:val="0A3C73"/>
      <w:szCs w:val="22"/>
      <w:lang w:val="en-US" w:eastAsia="en-US"/>
    </w:rPr>
  </w:style>
  <w:style w:type="character" w:customStyle="1" w:styleId="Heading1Char">
    <w:name w:val="Heading 1 Char"/>
    <w:basedOn w:val="DefaultParagraphFont"/>
    <w:link w:val="Heading1"/>
    <w:uiPriority w:val="9"/>
    <w:rsid w:val="00AE1996"/>
    <w:rPr>
      <w:rFonts w:ascii="VIC" w:eastAsiaTheme="majorEastAsia" w:hAnsi="VIC" w:cstheme="majorBidi"/>
      <w:color w:val="005FB4"/>
      <w:sz w:val="36"/>
      <w:szCs w:val="32"/>
      <w:lang w:eastAsia="en-AU"/>
    </w:rPr>
  </w:style>
  <w:style w:type="character" w:customStyle="1" w:styleId="Heading2Char">
    <w:name w:val="Heading 2 Char"/>
    <w:basedOn w:val="DefaultParagraphFont"/>
    <w:link w:val="Heading2"/>
    <w:uiPriority w:val="9"/>
    <w:rsid w:val="00AE1996"/>
    <w:rPr>
      <w:rFonts w:ascii="VIC" w:eastAsiaTheme="majorEastAsia" w:hAnsi="VIC" w:cs="Times New Roman (Headings CS)"/>
      <w:color w:val="005FB4"/>
      <w:sz w:val="26"/>
      <w:szCs w:val="26"/>
      <w:lang w:eastAsia="en-AU"/>
    </w:rPr>
  </w:style>
  <w:style w:type="character" w:styleId="UnresolvedMention">
    <w:name w:val="Unresolved Mention"/>
    <w:basedOn w:val="DefaultParagraphFont"/>
    <w:uiPriority w:val="99"/>
    <w:semiHidden/>
    <w:unhideWhenUsed/>
    <w:rsid w:val="007C52CF"/>
    <w:rPr>
      <w:color w:val="605E5C"/>
      <w:shd w:val="clear" w:color="auto" w:fill="E1DFDD"/>
    </w:rPr>
  </w:style>
  <w:style w:type="paragraph" w:styleId="Title">
    <w:name w:val="Title"/>
    <w:basedOn w:val="Normal"/>
    <w:link w:val="TitleChar"/>
    <w:uiPriority w:val="10"/>
    <w:qFormat/>
    <w:rsid w:val="004E3480"/>
    <w:pPr>
      <w:widowControl w:val="0"/>
      <w:autoSpaceDE w:val="0"/>
      <w:autoSpaceDN w:val="0"/>
      <w:spacing w:before="120" w:after="600" w:line="180" w:lineRule="auto"/>
      <w:jc w:val="right"/>
    </w:pPr>
    <w:rPr>
      <w:rFonts w:eastAsia="Arial"/>
      <w:bCs/>
      <w:color w:val="0A3C73"/>
      <w:sz w:val="80"/>
      <w:szCs w:val="47"/>
      <w:lang w:val="en-US" w:eastAsia="en-US"/>
    </w:rPr>
  </w:style>
  <w:style w:type="character" w:customStyle="1" w:styleId="TitleChar">
    <w:name w:val="Title Char"/>
    <w:basedOn w:val="DefaultParagraphFont"/>
    <w:link w:val="Title"/>
    <w:uiPriority w:val="10"/>
    <w:rsid w:val="004E3480"/>
    <w:rPr>
      <w:rFonts w:ascii="VIC" w:eastAsia="Arial" w:hAnsi="VIC" w:cs="Arial"/>
      <w:bCs/>
      <w:color w:val="0A3C73"/>
      <w:sz w:val="80"/>
      <w:szCs w:val="47"/>
      <w:lang w:val="en-US"/>
    </w:rPr>
  </w:style>
  <w:style w:type="paragraph" w:customStyle="1" w:styleId="TableParagraph">
    <w:name w:val="Table Paragraph"/>
    <w:basedOn w:val="Normal"/>
    <w:uiPriority w:val="1"/>
    <w:qFormat/>
    <w:rsid w:val="00927E13"/>
    <w:pPr>
      <w:widowControl w:val="0"/>
      <w:autoSpaceDE w:val="0"/>
      <w:autoSpaceDN w:val="0"/>
      <w:spacing w:after="0"/>
      <w:ind w:left="431"/>
    </w:pPr>
    <w:rPr>
      <w:rFonts w:eastAsia="VIC" w:cs="VIC"/>
      <w:szCs w:val="22"/>
      <w:lang w:val="en-US" w:eastAsia="en-US"/>
    </w:rPr>
  </w:style>
  <w:style w:type="character" w:customStyle="1" w:styleId="FooterDocDescriptionChar">
    <w:name w:val="Footer Doc Description Char"/>
    <w:basedOn w:val="DefaultParagraphFont"/>
    <w:link w:val="FooterDocDescription"/>
    <w:locked/>
    <w:rsid w:val="00CB7FC0"/>
    <w:rPr>
      <w:rFonts w:ascii="VIC" w:hAnsi="VIC"/>
      <w:color w:val="0A3C73"/>
      <w:sz w:val="16"/>
      <w:szCs w:val="20"/>
      <w:lang w:bidi="he-IL"/>
    </w:rPr>
  </w:style>
  <w:style w:type="paragraph" w:customStyle="1" w:styleId="FooterDocDescription">
    <w:name w:val="Footer Doc Description"/>
    <w:basedOn w:val="Footertext"/>
    <w:link w:val="FooterDocDescriptionChar"/>
    <w:autoRedefine/>
    <w:qFormat/>
    <w:rsid w:val="00CB7FC0"/>
    <w:rPr>
      <w:rFonts w:eastAsia="Times New Roman" w:cstheme="minorBidi"/>
    </w:rPr>
  </w:style>
  <w:style w:type="character" w:customStyle="1" w:styleId="SmallBodyChar">
    <w:name w:val="Small Body Char"/>
    <w:basedOn w:val="DefaultParagraphFont"/>
    <w:link w:val="SmallBody"/>
    <w:locked/>
    <w:rsid w:val="00E20996"/>
    <w:rPr>
      <w:rFonts w:ascii="VIC" w:hAnsi="VIC"/>
      <w:color w:val="000000" w:themeColor="text1"/>
      <w:sz w:val="20"/>
      <w:szCs w:val="20"/>
    </w:rPr>
  </w:style>
  <w:style w:type="paragraph" w:customStyle="1" w:styleId="SmallBody">
    <w:name w:val="Small Body"/>
    <w:basedOn w:val="Normal"/>
    <w:link w:val="SmallBodyChar"/>
    <w:qFormat/>
    <w:rsid w:val="00E20996"/>
    <w:rPr>
      <w:rFonts w:cstheme="minorBidi"/>
      <w:color w:val="000000" w:themeColor="text1"/>
      <w:lang w:eastAsia="en-US"/>
    </w:rPr>
  </w:style>
  <w:style w:type="character" w:customStyle="1" w:styleId="Heading3Char">
    <w:name w:val="Heading 3 Char"/>
    <w:basedOn w:val="DefaultParagraphFont"/>
    <w:link w:val="Heading3"/>
    <w:uiPriority w:val="9"/>
    <w:rsid w:val="003E5D0E"/>
    <w:rPr>
      <w:rFonts w:ascii="VIC" w:eastAsiaTheme="majorEastAsia" w:hAnsi="VIC" w:cstheme="majorBidi"/>
      <w:color w:val="005FB4"/>
      <w:lang w:eastAsia="en-AU"/>
    </w:rPr>
  </w:style>
  <w:style w:type="character" w:styleId="CommentReference">
    <w:name w:val="annotation reference"/>
    <w:basedOn w:val="DefaultParagraphFont"/>
    <w:uiPriority w:val="99"/>
    <w:semiHidden/>
    <w:unhideWhenUsed/>
    <w:rsid w:val="00325A2A"/>
    <w:rPr>
      <w:sz w:val="16"/>
      <w:szCs w:val="16"/>
    </w:rPr>
  </w:style>
  <w:style w:type="paragraph" w:styleId="CommentText">
    <w:name w:val="annotation text"/>
    <w:basedOn w:val="Normal"/>
    <w:link w:val="CommentTextChar"/>
    <w:uiPriority w:val="99"/>
    <w:unhideWhenUsed/>
    <w:rsid w:val="00325A2A"/>
  </w:style>
  <w:style w:type="character" w:customStyle="1" w:styleId="CommentTextChar">
    <w:name w:val="Comment Text Char"/>
    <w:basedOn w:val="DefaultParagraphFont"/>
    <w:link w:val="CommentText"/>
    <w:uiPriority w:val="99"/>
    <w:rsid w:val="00325A2A"/>
    <w:rPr>
      <w:rFonts w:ascii="VIC" w:hAnsi="VIC" w:cs="Arial"/>
      <w:sz w:val="20"/>
      <w:szCs w:val="20"/>
      <w:lang w:eastAsia="en-AU"/>
    </w:rPr>
  </w:style>
  <w:style w:type="paragraph" w:styleId="CommentSubject">
    <w:name w:val="annotation subject"/>
    <w:basedOn w:val="CommentText"/>
    <w:next w:val="CommentText"/>
    <w:link w:val="CommentSubjectChar"/>
    <w:uiPriority w:val="99"/>
    <w:semiHidden/>
    <w:unhideWhenUsed/>
    <w:rsid w:val="00325A2A"/>
    <w:rPr>
      <w:b/>
      <w:bCs/>
    </w:rPr>
  </w:style>
  <w:style w:type="character" w:customStyle="1" w:styleId="CommentSubjectChar">
    <w:name w:val="Comment Subject Char"/>
    <w:basedOn w:val="CommentTextChar"/>
    <w:link w:val="CommentSubject"/>
    <w:uiPriority w:val="99"/>
    <w:semiHidden/>
    <w:rsid w:val="00325A2A"/>
    <w:rPr>
      <w:rFonts w:ascii="VIC" w:hAnsi="VIC" w:cs="Arial"/>
      <w:b/>
      <w:bCs/>
      <w:sz w:val="20"/>
      <w:szCs w:val="20"/>
      <w:lang w:eastAsia="en-AU"/>
    </w:rPr>
  </w:style>
  <w:style w:type="paragraph" w:styleId="NormalWeb">
    <w:name w:val="Normal (Web)"/>
    <w:basedOn w:val="Normal"/>
    <w:uiPriority w:val="99"/>
    <w:unhideWhenUsed/>
    <w:rsid w:val="003E5508"/>
    <w:pPr>
      <w:spacing w:before="100" w:beforeAutospacing="1" w:after="100" w:afterAutospacing="1"/>
    </w:pPr>
    <w:rPr>
      <w:rFonts w:ascii="Times New Roman" w:hAnsi="Times New Roman" w:cs="Times New Roman"/>
      <w:sz w:val="24"/>
      <w:szCs w:val="24"/>
      <w:lang w:eastAsia="en-GB"/>
    </w:rPr>
  </w:style>
  <w:style w:type="paragraph" w:styleId="TOCHeading">
    <w:name w:val="TOC Heading"/>
    <w:basedOn w:val="Heading1"/>
    <w:next w:val="Normal"/>
    <w:uiPriority w:val="39"/>
    <w:unhideWhenUsed/>
    <w:qFormat/>
    <w:rsid w:val="00002E15"/>
    <w:pPr>
      <w:spacing w:after="0" w:line="259" w:lineRule="auto"/>
      <w:outlineLvl w:val="9"/>
    </w:pPr>
    <w:rPr>
      <w:rFonts w:asciiTheme="majorHAnsi" w:hAnsiTheme="majorHAnsi"/>
      <w:color w:val="2F5496" w:themeColor="accent1" w:themeShade="BF"/>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a.vic.gov.au/" TargetMode="External"/><Relationship Id="rId18" Type="http://schemas.openxmlformats.org/officeDocument/2006/relationships/footer" Target="footer1.xml"/><Relationship Id="rId26" Type="http://schemas.openxmlformats.org/officeDocument/2006/relationships/hyperlink" Target="http://dx.doi.org/10.1016/j.scitotenv.2023.161803" TargetMode="External"/><Relationship Id="rId39"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yperlink" Target="https://twitter.com/EPA_Victoria" TargetMode="External"/><Relationship Id="rId42" Type="http://schemas.openxmlformats.org/officeDocument/2006/relationships/hyperlink" Target="https://www.epa.vic.gov.au/" TargetMode="External"/><Relationship Id="rId47" Type="http://schemas.openxmlformats.org/officeDocument/2006/relationships/hyperlink" Target="https://www.linkedin.com/company/epa---victoria/" TargetMode="External"/><Relationship Id="rId50" Type="http://schemas.openxmlformats.org/officeDocument/2006/relationships/image" Target="media/image10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hyperlink" Target="https://www.foodstandards.gov.au/publications/pages/20thaustraliantotaldietsurveyjanuary2003/20thaustraliantotaldietsurveyfullreport/Default.aspx" TargetMode="External"/><Relationship Id="rId32" Type="http://schemas.openxmlformats.org/officeDocument/2006/relationships/hyperlink" Target="https://www.communications.gov.au/what-we-do/phone/services-people-disability/accesshub/national-relay-service" TargetMode="External"/><Relationship Id="rId37" Type="http://schemas.openxmlformats.org/officeDocument/2006/relationships/image" Target="media/image8.png"/><Relationship Id="rId40" Type="http://schemas.openxmlformats.org/officeDocument/2006/relationships/hyperlink" Target="http://www.youtube.com/channel/UCTH9sYvphkFxGlAsIyTecJQ" TargetMode="External"/><Relationship Id="rId45" Type="http://schemas.openxmlformats.org/officeDocument/2006/relationships/hyperlink" Target="https://www.facebook.com/EPAVictoria"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5.xml"/><Relationship Id="rId44" Type="http://schemas.openxmlformats.org/officeDocument/2006/relationships/image" Target="media/image7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pa.vic.gov.au/publication-feedback" TargetMode="External"/><Relationship Id="rId22" Type="http://schemas.openxmlformats.org/officeDocument/2006/relationships/hyperlink" Target="https://www.agriculture.gov.au/agriculture-land/farm-food-drought/food/nrs/nrs-results-publications/metals-meat-eggs-survey-2009-10" TargetMode="External"/><Relationship Id="rId27" Type="http://schemas.openxmlformats.org/officeDocument/2006/relationships/hyperlink" Target="mailto:contact@epa.vic.gov.au" TargetMode="External"/><Relationship Id="rId30" Type="http://schemas.openxmlformats.org/officeDocument/2006/relationships/footer" Target="footer2.xml"/><Relationship Id="rId35" Type="http://schemas.openxmlformats.org/officeDocument/2006/relationships/image" Target="media/image7.png"/><Relationship Id="rId43" Type="http://schemas.openxmlformats.org/officeDocument/2006/relationships/hyperlink" Target="https://twitter.com/EPA_Victoria" TargetMode="External"/><Relationship Id="rId48" Type="http://schemas.openxmlformats.org/officeDocument/2006/relationships/image" Target="media/image90.png"/><Relationship Id="rId8" Type="http://schemas.openxmlformats.org/officeDocument/2006/relationships/webSettings" Target="webSettings.xml"/><Relationship Id="rId51" Type="http://schemas.openxmlformats.org/officeDocument/2006/relationships/hyperlink" Target="https://www.epa.vic.gov.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www.foodstandards.gov.au/publications/pages/20thaustraliantotaldietsurveyjanuary2003/20thaustraliantotaldietsurveyfullreport/Default.aspx" TargetMode="External"/><Relationship Id="rId33" Type="http://schemas.openxmlformats.org/officeDocument/2006/relationships/image" Target="media/image6.png"/><Relationship Id="rId38" Type="http://schemas.openxmlformats.org/officeDocument/2006/relationships/hyperlink" Target="https://www.linkedin.com/company/epa---victoria/" TargetMode="External"/><Relationship Id="rId46" Type="http://schemas.openxmlformats.org/officeDocument/2006/relationships/image" Target="media/image80.png"/><Relationship Id="rId20" Type="http://schemas.openxmlformats.org/officeDocument/2006/relationships/hyperlink" Target="https://www.epa.vic.gov.au/about-epa/publications/1734"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foodstandards.gov.au/code/Documents/Sched%2019%20Contaminant%20MLs%20v157.pdf" TargetMode="External"/><Relationship Id="rId28" Type="http://schemas.openxmlformats.org/officeDocument/2006/relationships/image" Target="media/image5.png"/><Relationship Id="rId36" Type="http://schemas.openxmlformats.org/officeDocument/2006/relationships/hyperlink" Target="https://www.facebook.com/EPAVictoria" TargetMode="External"/><Relationship Id="rId49" Type="http://schemas.openxmlformats.org/officeDocument/2006/relationships/hyperlink" Target="http://www.youtube.com/channel/UCTH9sYvphkFxGlAsIyTecJQ"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0" ma:contentTypeDescription="Create a new document." ma:contentTypeScope="" ma:versionID="ecc52e581e9d62bc1e208b6c8285059b">
  <xsd:schema xmlns:xsd="http://www.w3.org/2001/XMLSchema" xmlns:xs="http://www.w3.org/2001/XMLSchema" xmlns:p="http://schemas.microsoft.com/office/2006/metadata/properties" xmlns:ns2="9ba959f9-8d16-4376-9a39-3a97225b8b59" xmlns:ns3="abffff2a-593d-4540-b068-21db321d87be" xmlns:ns4="a6d3a7d7-5bbf-4e15-8086-1a83efe325b1" targetNamespace="http://schemas.microsoft.com/office/2006/metadata/properties" ma:root="true" ma:fieldsID="15675b67ef3c6fffe2a72ff47e485881" ns2:_="" ns3:_="" ns4:_="">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Image" minOccurs="0"/>
                <xsd:element ref="ns3:SharedWithUsers" minOccurs="0"/>
                <xsd:element ref="ns3:SharedWithDetails" minOccurs="0"/>
                <xsd:element ref="ns2:MediaServiceLocation" minOccurs="0"/>
                <xsd:element ref="ns2:MediaLengthInSeconds" minOccurs="0"/>
                <xsd:element ref="ns2:Comms" minOccurs="0"/>
                <xsd:element ref="ns2:Partner" minOccurs="0"/>
                <xsd:element ref="ns2:EPAcontact"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Image" ma:index="17"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s" ma:index="22" nillable="true" ma:displayName="Comms" ma:format="Dropdown" ma:internalName="Comms">
      <xsd:simpleType>
        <xsd:restriction base="dms:Choice">
          <xsd:enumeration value="Internal"/>
          <xsd:enumeration value="External"/>
        </xsd:restriction>
      </xsd:simpleType>
    </xsd:element>
    <xsd:element name="Partner" ma:index="23" nillable="true" ma:displayName="Partner" ma:format="Dropdown" ma:internalName="Partner">
      <xsd:simpleType>
        <xsd:restriction base="dms:Text">
          <xsd:maxLength value="255"/>
        </xsd:restriction>
      </xsd:simpleType>
    </xsd:element>
    <xsd:element name="EPAcontact" ma:index="24" nillable="true" ma:displayName="EPA contact" ma:format="Dropdown" ma:list="UserInfo" ma:SharePointGroup="0" ma:internalName="EPA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ca307cd-2a7a-4c80-9056-df2bbb0b690a}" ma:internalName="TaxCatchAll"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bffff2a-593d-4540-b068-21db321d87be">
      <UserInfo>
        <DisplayName>Ruth Charters</DisplayName>
        <AccountId>1154</AccountId>
        <AccountType/>
      </UserInfo>
      <UserInfo>
        <DisplayName>Cathy Heycock</DisplayName>
        <AccountId>795</AccountId>
        <AccountType/>
      </UserInfo>
    </SharedWithUsers>
    <Comms xmlns="9ba959f9-8d16-4376-9a39-3a97225b8b59" xsi:nil="true"/>
    <lcf76f155ced4ddcb4097134ff3c332f xmlns="9ba959f9-8d16-4376-9a39-3a97225b8b59">
      <Terms xmlns="http://schemas.microsoft.com/office/infopath/2007/PartnerControls"/>
    </lcf76f155ced4ddcb4097134ff3c332f>
    <TaxCatchAll xmlns="a6d3a7d7-5bbf-4e15-8086-1a83efe325b1"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Props1.xml><?xml version="1.0" encoding="utf-8"?>
<ds:datastoreItem xmlns:ds="http://schemas.openxmlformats.org/officeDocument/2006/customXml" ds:itemID="{9D28F430-7A60-4225-9E7A-A7AF05EAC77A}">
  <ds:schemaRefs>
    <ds:schemaRef ds:uri="http://schemas.microsoft.com/sharepoint/v3/contenttype/forms"/>
  </ds:schemaRefs>
</ds:datastoreItem>
</file>

<file path=customXml/itemProps2.xml><?xml version="1.0" encoding="utf-8"?>
<ds:datastoreItem xmlns:ds="http://schemas.openxmlformats.org/officeDocument/2006/customXml" ds:itemID="{A0D355E1-140E-444E-9B92-5ACD01F32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EF8714-DE1C-4A5E-905A-9E8DF0C21973}">
  <ds:schemaRefs>
    <ds:schemaRef ds:uri="http://schemas.openxmlformats.org/officeDocument/2006/bibliography"/>
  </ds:schemaRefs>
</ds:datastoreItem>
</file>

<file path=customXml/itemProps4.xml><?xml version="1.0" encoding="utf-8"?>
<ds:datastoreItem xmlns:ds="http://schemas.openxmlformats.org/officeDocument/2006/customXml" ds:itemID="{ECB9DE17-F56B-41C0-BE56-DED0752C0FA5}">
  <ds:schemaRefs>
    <ds:schemaRef ds:uri="http://purl.org/dc/elements/1.1/"/>
    <ds:schemaRef ds:uri="9ba959f9-8d16-4376-9a39-3a97225b8b59"/>
    <ds:schemaRef ds:uri="http://purl.org/dc/terms/"/>
    <ds:schemaRef ds:uri="http://schemas.microsoft.com/office/2006/documentManagement/types"/>
    <ds:schemaRef ds:uri="abffff2a-593d-4540-b068-21db321d87be"/>
    <ds:schemaRef ds:uri="http://www.w3.org/XML/1998/namespace"/>
    <ds:schemaRef ds:uri="http://schemas.openxmlformats.org/package/2006/metadata/core-properties"/>
    <ds:schemaRef ds:uri="http://schemas.microsoft.com/office/infopath/2007/PartnerControls"/>
    <ds:schemaRef ds:uri="http://purl.org/dc/dcmitype/"/>
    <ds:schemaRef ds:uri="a6d3a7d7-5bbf-4e15-8086-1a83efe325b1"/>
    <ds:schemaRef ds:uri="http://schemas.microsoft.com/office/2006/metadata/propertie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3527</Words>
  <Characters>20105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Lawn</dc:creator>
  <cp:keywords/>
  <dc:description/>
  <cp:lastModifiedBy>Karen Mulvihill</cp:lastModifiedBy>
  <cp:revision>3</cp:revision>
  <cp:lastPrinted>2023-04-27T03:40:00Z</cp:lastPrinted>
  <dcterms:created xsi:type="dcterms:W3CDTF">2023-04-27T03:34:00Z</dcterms:created>
  <dcterms:modified xsi:type="dcterms:W3CDTF">2023-04-27T03:40:00Z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15,16,17,18,19,1a</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0x010100EBF629B23B43C843B611A570B03619AC</vt:lpwstr>
  </property>
  <property fmtid="{D5CDD505-2E9C-101B-9397-08002B2CF9AE}" pid="6" name="MediaServiceImageTags">
    <vt:lpwstr/>
  </property>
</Properties>
</file>